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56BB4056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185CBA">
        <w:rPr>
          <w:rFonts w:cstheme="minorHAnsi"/>
          <w:b/>
          <w:bCs/>
          <w:sz w:val="28"/>
          <w:szCs w:val="28"/>
        </w:rPr>
        <w:t xml:space="preserve">2 </w:t>
      </w:r>
      <w:r w:rsidRPr="00D54C2A">
        <w:rPr>
          <w:rFonts w:cstheme="minorHAnsi"/>
          <w:b/>
          <w:bCs/>
          <w:sz w:val="28"/>
          <w:szCs w:val="28"/>
        </w:rPr>
        <w:t>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6E0A3E68" w:rsidR="00787AE9" w:rsidRPr="00DE7597" w:rsidRDefault="00787AE9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08080927"/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„</w:t>
      </w:r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</w:p>
    <w:bookmarkEnd w:id="0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4206A5ED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bookmarkStart w:id="1" w:name="_Hlk192924297"/>
      <w:r>
        <w:rPr>
          <w:rFonts w:asciiTheme="minorHAnsi" w:hAnsiTheme="minorHAnsi" w:cstheme="minorHAnsi"/>
        </w:rPr>
        <w:t xml:space="preserve">Część </w:t>
      </w:r>
      <w:r w:rsidR="001F6A44">
        <w:rPr>
          <w:rFonts w:asciiTheme="minorHAnsi" w:hAnsiTheme="minorHAnsi" w:cstheme="minorHAnsi"/>
        </w:rPr>
        <w:t>I</w:t>
      </w:r>
      <w:r w:rsidR="006466A7">
        <w:rPr>
          <w:rFonts w:asciiTheme="minorHAnsi" w:hAnsiTheme="minorHAnsi" w:cstheme="minorHAnsi"/>
        </w:rPr>
        <w:t>I</w:t>
      </w:r>
      <w:r w:rsidR="008F33E7" w:rsidRPr="00D54C2A">
        <w:rPr>
          <w:rFonts w:asciiTheme="minorHAnsi" w:hAnsiTheme="minorHAnsi" w:cstheme="minorHAnsi"/>
        </w:rPr>
        <w:t xml:space="preserve">: </w:t>
      </w:r>
      <w:r w:rsidR="00185CBA" w:rsidRPr="00185CBA">
        <w:rPr>
          <w:rFonts w:asciiTheme="minorHAnsi" w:hAnsiTheme="minorHAnsi" w:cstheme="minorHAnsi"/>
          <w:bCs w:val="0"/>
        </w:rPr>
        <w:t>Zakup wyposażenia i sprzętu medycznego.</w:t>
      </w:r>
      <w:bookmarkEnd w:id="1"/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0AF3DB17" w14:textId="3B98BA7D" w:rsidR="00BF0990" w:rsidRPr="00BF0990" w:rsidRDefault="00185CBA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185CBA">
        <w:rPr>
          <w:rFonts w:cstheme="minorHAnsi"/>
        </w:rPr>
        <w:t>33100000-1 Urządzenia medyczne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67"/>
        <w:gridCol w:w="2503"/>
        <w:gridCol w:w="1276"/>
        <w:gridCol w:w="4536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1D3F55" w14:paraId="769D56DD" w14:textId="77777777" w:rsidTr="0036332B">
        <w:trPr>
          <w:trHeight w:val="270"/>
        </w:trPr>
        <w:tc>
          <w:tcPr>
            <w:tcW w:w="1467" w:type="dxa"/>
            <w:vMerge w:val="restart"/>
          </w:tcPr>
          <w:p w14:paraId="1CC62CE7" w14:textId="77777777" w:rsidR="00787AE9" w:rsidRDefault="00787AE9" w:rsidP="00787AE9">
            <w:pPr>
              <w:rPr>
                <w:b/>
                <w:sz w:val="24"/>
              </w:rPr>
            </w:pPr>
          </w:p>
          <w:p w14:paraId="79B54D17" w14:textId="77777777" w:rsidR="00787AE9" w:rsidRDefault="00787AE9" w:rsidP="00787AE9">
            <w:pPr>
              <w:rPr>
                <w:b/>
                <w:sz w:val="24"/>
              </w:rPr>
            </w:pPr>
          </w:p>
          <w:p w14:paraId="3B5B6DE2" w14:textId="77777777" w:rsidR="001D3F55" w:rsidRPr="00E83F14" w:rsidRDefault="00E83F14" w:rsidP="00787AE9">
            <w:pPr>
              <w:rPr>
                <w:b/>
                <w:sz w:val="28"/>
              </w:rPr>
            </w:pPr>
            <w:r w:rsidRPr="00500155">
              <w:rPr>
                <w:b/>
                <w:sz w:val="24"/>
              </w:rPr>
              <w:t>Sprzęt medyczny</w:t>
            </w:r>
          </w:p>
        </w:tc>
        <w:tc>
          <w:tcPr>
            <w:tcW w:w="2503" w:type="dxa"/>
            <w:vAlign w:val="center"/>
          </w:tcPr>
          <w:p w14:paraId="3D933AC3" w14:textId="17A3227A" w:rsidR="001D3F55" w:rsidRDefault="00185CBA" w:rsidP="00FC2739">
            <w:r w:rsidRPr="00185CBA">
              <w:t>Zakup wag medycznych ze wzrostomierzem</w:t>
            </w:r>
          </w:p>
        </w:tc>
        <w:tc>
          <w:tcPr>
            <w:tcW w:w="1276" w:type="dxa"/>
            <w:vAlign w:val="center"/>
          </w:tcPr>
          <w:p w14:paraId="54422581" w14:textId="77777777" w:rsidR="001D3F55" w:rsidRDefault="001D3F55" w:rsidP="00395429"/>
          <w:p w14:paraId="08A59777" w14:textId="6AF28F62" w:rsidR="001D3F55" w:rsidRDefault="00FC2739" w:rsidP="00FC2739">
            <w:r>
              <w:t xml:space="preserve">    </w:t>
            </w:r>
            <w:r w:rsidR="00185CBA">
              <w:t>2</w:t>
            </w:r>
            <w:r>
              <w:t xml:space="preserve"> szt.</w:t>
            </w:r>
          </w:p>
        </w:tc>
        <w:tc>
          <w:tcPr>
            <w:tcW w:w="4536" w:type="dxa"/>
            <w:vAlign w:val="center"/>
          </w:tcPr>
          <w:p w14:paraId="3735245E" w14:textId="77777777" w:rsidR="00185CBA" w:rsidRDefault="00185CBA" w:rsidP="00185CBA">
            <w:pPr>
              <w:spacing w:line="276" w:lineRule="auto"/>
            </w:pPr>
            <w:r>
              <w:t>Waga o dopuszczalnym obciążeniu 300 kg</w:t>
            </w:r>
          </w:p>
          <w:p w14:paraId="0CC0F4C8" w14:textId="77777777" w:rsidR="00185CBA" w:rsidRDefault="00185CBA" w:rsidP="00185CBA">
            <w:pPr>
              <w:spacing w:line="276" w:lineRule="auto"/>
            </w:pPr>
            <w:r>
              <w:t>Dokładność 100 g w całym zakresie pomiaru</w:t>
            </w:r>
          </w:p>
          <w:p w14:paraId="617B4CD5" w14:textId="77777777" w:rsidR="00185CBA" w:rsidRDefault="00185CBA" w:rsidP="00185CBA">
            <w:pPr>
              <w:spacing w:line="276" w:lineRule="auto"/>
            </w:pPr>
            <w:r>
              <w:t>Wzrostomierz mierzący od 60 do 210 cm (w zestawie)</w:t>
            </w:r>
          </w:p>
          <w:p w14:paraId="523F7FB7" w14:textId="77777777" w:rsidR="00185CBA" w:rsidRDefault="00185CBA" w:rsidP="00185CBA">
            <w:pPr>
              <w:spacing w:line="276" w:lineRule="auto"/>
            </w:pPr>
            <w:r>
              <w:t>Wbudowane kółka transportowe ułatwiające przemieszczanie wagi.</w:t>
            </w:r>
          </w:p>
          <w:p w14:paraId="69135E61" w14:textId="77777777" w:rsidR="00185CBA" w:rsidRDefault="00185CBA" w:rsidP="00185CBA">
            <w:pPr>
              <w:spacing w:line="276" w:lineRule="auto"/>
            </w:pPr>
            <w:r>
              <w:t>Brak okablowania zewnętrznego między platformą wagową a panelem - miernikiem wagowym</w:t>
            </w:r>
          </w:p>
          <w:p w14:paraId="27189358" w14:textId="77777777" w:rsidR="00185CBA" w:rsidRDefault="00185CBA" w:rsidP="00185CBA">
            <w:pPr>
              <w:spacing w:line="276" w:lineRule="auto"/>
            </w:pPr>
            <w:r>
              <w:t xml:space="preserve">Możliwość wyznaczania wskaźnika masy ciała BMI (Body Mass Index) przy wzroście powyżej 60 cm. Możliwość wyznaczania wskaźnika BSA czyli powierzchnię ciała pacjenta - (Body Surface </w:t>
            </w:r>
            <w:proofErr w:type="spellStart"/>
            <w:r>
              <w:t>Area</w:t>
            </w:r>
            <w:proofErr w:type="spellEnd"/>
            <w:r>
              <w:t>).</w:t>
            </w:r>
          </w:p>
          <w:p w14:paraId="191285A2" w14:textId="74D96438" w:rsidR="001D3F55" w:rsidRDefault="00185CBA" w:rsidP="00185CBA">
            <w:pPr>
              <w:spacing w:line="276" w:lineRule="auto"/>
            </w:pPr>
            <w:r>
              <w:t>w zestawie zasilacz sieciowy</w:t>
            </w:r>
          </w:p>
        </w:tc>
      </w:tr>
      <w:tr w:rsidR="001D3F55" w14:paraId="2C6B773D" w14:textId="77777777" w:rsidTr="0036332B">
        <w:trPr>
          <w:trHeight w:val="258"/>
        </w:trPr>
        <w:tc>
          <w:tcPr>
            <w:tcW w:w="1467" w:type="dxa"/>
            <w:vMerge/>
          </w:tcPr>
          <w:p w14:paraId="0D1A5346" w14:textId="77777777" w:rsidR="001D3F55" w:rsidRDefault="001D3F55" w:rsidP="00787AE9"/>
        </w:tc>
        <w:tc>
          <w:tcPr>
            <w:tcW w:w="2503" w:type="dxa"/>
            <w:vAlign w:val="center"/>
          </w:tcPr>
          <w:p w14:paraId="45F968FD" w14:textId="0B198D54" w:rsidR="001D3F55" w:rsidRDefault="00185CBA" w:rsidP="00FC2739">
            <w:r w:rsidRPr="00185CBA">
              <w:t>Zakup wag medycznych dla niemowląt</w:t>
            </w:r>
          </w:p>
        </w:tc>
        <w:tc>
          <w:tcPr>
            <w:tcW w:w="1276" w:type="dxa"/>
            <w:vAlign w:val="center"/>
          </w:tcPr>
          <w:p w14:paraId="0C3D9378" w14:textId="77777777" w:rsidR="001D3F55" w:rsidRDefault="001D3F55" w:rsidP="00395429"/>
          <w:p w14:paraId="314F291A" w14:textId="7DED9E96" w:rsidR="001D3F55" w:rsidRDefault="001D3F55" w:rsidP="00395429">
            <w:r>
              <w:t xml:space="preserve">      </w:t>
            </w:r>
            <w:r w:rsidR="00185CBA">
              <w:t>2</w:t>
            </w:r>
            <w:r w:rsidR="00FC2739">
              <w:t xml:space="preserve"> szt.</w:t>
            </w:r>
          </w:p>
        </w:tc>
        <w:tc>
          <w:tcPr>
            <w:tcW w:w="4536" w:type="dxa"/>
            <w:vAlign w:val="center"/>
          </w:tcPr>
          <w:p w14:paraId="1C17CAF6" w14:textId="77777777" w:rsidR="00185CBA" w:rsidRDefault="00185CBA" w:rsidP="00185CBA">
            <w:pPr>
              <w:spacing w:line="276" w:lineRule="auto"/>
            </w:pPr>
            <w:r>
              <w:t>Przenośna waga dla niemowląt</w:t>
            </w:r>
          </w:p>
          <w:p w14:paraId="57D1FB29" w14:textId="77777777" w:rsidR="00185CBA" w:rsidRDefault="00185CBA" w:rsidP="00185CBA">
            <w:pPr>
              <w:spacing w:line="276" w:lineRule="auto"/>
            </w:pPr>
            <w:r>
              <w:t>Nośność 20 kg</w:t>
            </w:r>
          </w:p>
          <w:p w14:paraId="2D9D2BC9" w14:textId="77777777" w:rsidR="00185CBA" w:rsidRDefault="00185CBA" w:rsidP="00185CBA">
            <w:pPr>
              <w:spacing w:line="276" w:lineRule="auto"/>
            </w:pPr>
            <w:r>
              <w:t>Sposób pomiaru: Elektroniczny</w:t>
            </w:r>
          </w:p>
          <w:p w14:paraId="01A59A56" w14:textId="77777777" w:rsidR="00185CBA" w:rsidRDefault="00185CBA" w:rsidP="00185CBA">
            <w:pPr>
              <w:spacing w:line="276" w:lineRule="auto"/>
            </w:pPr>
            <w:r>
              <w:t>Rodzaj wagi: Pediatryczna</w:t>
            </w:r>
          </w:p>
          <w:p w14:paraId="491E8053" w14:textId="77777777" w:rsidR="00185CBA" w:rsidRDefault="00185CBA" w:rsidP="00185CBA">
            <w:pPr>
              <w:spacing w:line="276" w:lineRule="auto"/>
            </w:pPr>
            <w:r>
              <w:t>Wymiary: ≤ 64 x 12 x 30 cm</w:t>
            </w:r>
          </w:p>
          <w:p w14:paraId="322DDB01" w14:textId="77777777" w:rsidR="00185CBA" w:rsidRDefault="00185CBA" w:rsidP="00185CBA">
            <w:pPr>
              <w:spacing w:line="276" w:lineRule="auto"/>
            </w:pPr>
            <w:r>
              <w:t>Waga urządzenia: do 3,5 kg</w:t>
            </w:r>
          </w:p>
          <w:p w14:paraId="2437750E" w14:textId="77777777" w:rsidR="00185CBA" w:rsidRDefault="00185CBA" w:rsidP="00185CBA">
            <w:pPr>
              <w:spacing w:line="276" w:lineRule="auto"/>
            </w:pPr>
            <w:r>
              <w:t>Klasa dokładności: III Klasa</w:t>
            </w:r>
          </w:p>
          <w:p w14:paraId="7E925CB2" w14:textId="77777777" w:rsidR="00185CBA" w:rsidRDefault="00185CBA" w:rsidP="00185CBA">
            <w:pPr>
              <w:spacing w:line="276" w:lineRule="auto"/>
            </w:pPr>
            <w:r>
              <w:t>Nośność wagi: 20 kg</w:t>
            </w:r>
          </w:p>
          <w:p w14:paraId="4FFB04DC" w14:textId="77777777" w:rsidR="00185CBA" w:rsidRDefault="00185CBA" w:rsidP="00185CBA">
            <w:pPr>
              <w:spacing w:line="276" w:lineRule="auto"/>
            </w:pPr>
            <w:r>
              <w:t>Podziałka (g): 10 g</w:t>
            </w:r>
          </w:p>
          <w:p w14:paraId="6BF650D9" w14:textId="77777777" w:rsidR="00185CBA" w:rsidRDefault="00185CBA" w:rsidP="00185CBA">
            <w:pPr>
              <w:spacing w:line="276" w:lineRule="auto"/>
            </w:pPr>
            <w:r>
              <w:t>Zasilanie: Baterie</w:t>
            </w:r>
          </w:p>
          <w:p w14:paraId="6388885F" w14:textId="77777777" w:rsidR="00185CBA" w:rsidRDefault="00185CBA" w:rsidP="00185CBA">
            <w:pPr>
              <w:spacing w:line="276" w:lineRule="auto"/>
            </w:pPr>
            <w:r>
              <w:t>Dodatkowe informacje: automatyczne wyłączanie, TARA, Do mobilnego mierzenia, HOLD</w:t>
            </w:r>
          </w:p>
          <w:p w14:paraId="7F7AFDE7" w14:textId="07E481F3" w:rsidR="001D3F55" w:rsidRDefault="00185CBA" w:rsidP="00185CBA">
            <w:pPr>
              <w:spacing w:line="276" w:lineRule="auto"/>
            </w:pPr>
            <w:r>
              <w:t>CE: CE 0109</w:t>
            </w:r>
          </w:p>
        </w:tc>
      </w:tr>
      <w:tr w:rsidR="00E54EA5" w14:paraId="6731C9D4" w14:textId="77777777" w:rsidTr="0036332B">
        <w:trPr>
          <w:trHeight w:val="258"/>
        </w:trPr>
        <w:tc>
          <w:tcPr>
            <w:tcW w:w="1467" w:type="dxa"/>
            <w:vMerge w:val="restart"/>
          </w:tcPr>
          <w:p w14:paraId="78B5E081" w14:textId="77777777" w:rsidR="00E54EA5" w:rsidRDefault="00E54EA5" w:rsidP="00787AE9"/>
        </w:tc>
        <w:tc>
          <w:tcPr>
            <w:tcW w:w="2503" w:type="dxa"/>
            <w:vAlign w:val="center"/>
          </w:tcPr>
          <w:p w14:paraId="7472BC1B" w14:textId="0FFB4D4C" w:rsidR="00E54EA5" w:rsidRDefault="00E54EA5" w:rsidP="00FC2739">
            <w:r w:rsidRPr="00185CBA">
              <w:t>Zakup lamp diagnostycznych bezcieniowych</w:t>
            </w:r>
          </w:p>
        </w:tc>
        <w:tc>
          <w:tcPr>
            <w:tcW w:w="1276" w:type="dxa"/>
            <w:vAlign w:val="center"/>
          </w:tcPr>
          <w:p w14:paraId="70A752C3" w14:textId="78BF356F" w:rsidR="00E54EA5" w:rsidRDefault="00E54EA5" w:rsidP="00395429">
            <w:r>
              <w:t>3 szt.</w:t>
            </w:r>
          </w:p>
        </w:tc>
        <w:tc>
          <w:tcPr>
            <w:tcW w:w="4536" w:type="dxa"/>
            <w:vAlign w:val="center"/>
          </w:tcPr>
          <w:p w14:paraId="37A1FDF8" w14:textId="77777777" w:rsidR="00E54EA5" w:rsidRDefault="00E54EA5" w:rsidP="00185CBA">
            <w:pPr>
              <w:spacing w:line="276" w:lineRule="auto"/>
            </w:pPr>
            <w:r>
              <w:t>Z źródłem światła – 3 moduły LED,</w:t>
            </w:r>
          </w:p>
          <w:p w14:paraId="5C98D8ED" w14:textId="77777777" w:rsidR="00E54EA5" w:rsidRDefault="00E54EA5" w:rsidP="00185CBA">
            <w:pPr>
              <w:spacing w:line="276" w:lineRule="auto"/>
            </w:pPr>
            <w:r>
              <w:t xml:space="preserve">natężenie światła: dla odległości 1,0 m - 50 000 </w:t>
            </w:r>
            <w:proofErr w:type="spellStart"/>
            <w:r>
              <w:t>lux</w:t>
            </w:r>
            <w:proofErr w:type="spellEnd"/>
          </w:p>
          <w:p w14:paraId="6EC6E106" w14:textId="77777777" w:rsidR="00E54EA5" w:rsidRDefault="00E54EA5" w:rsidP="00185CBA">
            <w:pPr>
              <w:spacing w:line="276" w:lineRule="auto"/>
            </w:pPr>
            <w:r>
              <w:t>średnica plamy świetlnej dla 1,0 m - 15 cm (+/-8%) w tym zakresie pełna iluminacją światła.</w:t>
            </w:r>
          </w:p>
          <w:p w14:paraId="5EB396B8" w14:textId="77777777" w:rsidR="00E54EA5" w:rsidRDefault="00E54EA5" w:rsidP="00185CBA">
            <w:pPr>
              <w:spacing w:line="276" w:lineRule="auto"/>
            </w:pPr>
            <w:r>
              <w:t>średnica kopuły świetlnej: ≤22 cm,</w:t>
            </w:r>
          </w:p>
          <w:p w14:paraId="2AA9EE48" w14:textId="77777777" w:rsidR="00E54EA5" w:rsidRDefault="00E54EA5" w:rsidP="00185CBA">
            <w:pPr>
              <w:spacing w:line="276" w:lineRule="auto"/>
            </w:pPr>
            <w:r>
              <w:t>średni czas żywotności diod: 50000h,</w:t>
            </w:r>
          </w:p>
          <w:p w14:paraId="5427070A" w14:textId="77777777" w:rsidR="00E54EA5" w:rsidRDefault="00E54EA5" w:rsidP="00185CBA">
            <w:pPr>
              <w:spacing w:line="276" w:lineRule="auto"/>
            </w:pPr>
            <w:r>
              <w:t xml:space="preserve">temperatura barwowa: 4750 </w:t>
            </w:r>
            <w:proofErr w:type="spellStart"/>
            <w:r>
              <w:t>oK</w:t>
            </w:r>
            <w:proofErr w:type="spellEnd"/>
            <w:r>
              <w:t>,</w:t>
            </w:r>
          </w:p>
          <w:p w14:paraId="7845DE06" w14:textId="77777777" w:rsidR="00E54EA5" w:rsidRDefault="00E54EA5" w:rsidP="00185CBA">
            <w:pPr>
              <w:spacing w:line="276" w:lineRule="auto"/>
            </w:pPr>
            <w:r>
              <w:t>ramię typu „gęsia szyja” zapewniające dokładne oświetlenie badanego pola,</w:t>
            </w:r>
          </w:p>
          <w:p w14:paraId="2B6392C1" w14:textId="77777777" w:rsidR="00E54EA5" w:rsidRDefault="00E54EA5" w:rsidP="00185CBA">
            <w:pPr>
              <w:spacing w:line="276" w:lineRule="auto"/>
            </w:pPr>
            <w:r>
              <w:t>w zestawie wymienna rączka do ustawania położenia czaszy,</w:t>
            </w:r>
          </w:p>
          <w:p w14:paraId="2601B248" w14:textId="77777777" w:rsidR="00E54EA5" w:rsidRDefault="00E54EA5" w:rsidP="00185CBA">
            <w:pPr>
              <w:spacing w:line="276" w:lineRule="auto"/>
            </w:pPr>
            <w:r>
              <w:t>płynna regulacja natężenia światła,</w:t>
            </w:r>
          </w:p>
          <w:p w14:paraId="2A214887" w14:textId="77777777" w:rsidR="00E54EA5" w:rsidRDefault="00E54EA5" w:rsidP="00185CBA">
            <w:pPr>
              <w:spacing w:line="276" w:lineRule="auto"/>
            </w:pPr>
            <w:r>
              <w:t>przyrost temperatury w polu roboczym &lt; 1°C,</w:t>
            </w:r>
          </w:p>
          <w:p w14:paraId="59E82AC0" w14:textId="77777777" w:rsidR="00E54EA5" w:rsidRDefault="00E54EA5" w:rsidP="00185CBA">
            <w:pPr>
              <w:spacing w:line="276" w:lineRule="auto"/>
            </w:pPr>
            <w:r>
              <w:t>waga lampy: +/- 7 kg,</w:t>
            </w:r>
          </w:p>
          <w:p w14:paraId="3ABCDB12" w14:textId="77777777" w:rsidR="00E54EA5" w:rsidRDefault="00E54EA5" w:rsidP="00185CBA">
            <w:pPr>
              <w:spacing w:line="276" w:lineRule="auto"/>
            </w:pPr>
            <w:r>
              <w:t>certyfikat CE,</w:t>
            </w:r>
          </w:p>
          <w:p w14:paraId="5E1F05E3" w14:textId="7A2D1AC7" w:rsidR="00E54EA5" w:rsidRDefault="00E54EA5" w:rsidP="00185CBA">
            <w:pPr>
              <w:spacing w:line="276" w:lineRule="auto"/>
            </w:pPr>
            <w:r>
              <w:t>zasilanie 230V 50/60Hz</w:t>
            </w:r>
          </w:p>
        </w:tc>
      </w:tr>
      <w:tr w:rsidR="00E54EA5" w14:paraId="432F62E8" w14:textId="77777777" w:rsidTr="0036332B">
        <w:trPr>
          <w:trHeight w:val="258"/>
        </w:trPr>
        <w:tc>
          <w:tcPr>
            <w:tcW w:w="1467" w:type="dxa"/>
            <w:vMerge/>
          </w:tcPr>
          <w:p w14:paraId="1B80738C" w14:textId="77777777" w:rsidR="00E54EA5" w:rsidRDefault="00E54EA5" w:rsidP="00787AE9"/>
        </w:tc>
        <w:tc>
          <w:tcPr>
            <w:tcW w:w="2503" w:type="dxa"/>
            <w:vAlign w:val="center"/>
          </w:tcPr>
          <w:p w14:paraId="29DD8BBE" w14:textId="1003715E" w:rsidR="00E54EA5" w:rsidRDefault="00E54EA5" w:rsidP="00FC2739">
            <w:r w:rsidRPr="00185CBA">
              <w:t>Zakup elektronicznych tablic do badan ostrości wzroku</w:t>
            </w:r>
          </w:p>
        </w:tc>
        <w:tc>
          <w:tcPr>
            <w:tcW w:w="1276" w:type="dxa"/>
            <w:vAlign w:val="center"/>
          </w:tcPr>
          <w:p w14:paraId="3346AF3F" w14:textId="15622FBF" w:rsidR="00E54EA5" w:rsidRDefault="00E54EA5" w:rsidP="00395429">
            <w:r>
              <w:t>szt. 1</w:t>
            </w:r>
          </w:p>
        </w:tc>
        <w:tc>
          <w:tcPr>
            <w:tcW w:w="4536" w:type="dxa"/>
            <w:vAlign w:val="center"/>
          </w:tcPr>
          <w:p w14:paraId="217E6293" w14:textId="77777777" w:rsidR="00E54EA5" w:rsidRDefault="00E54EA5" w:rsidP="00185CBA">
            <w:pPr>
              <w:spacing w:line="276" w:lineRule="auto"/>
            </w:pPr>
            <w:r>
              <w:t xml:space="preserve">Tablica okulistyczna podświetlana z pilotem dla dorosłych i dzieci, wyposażoną w wymienne optotypy oraz funkcję podświetlania, sterowana bezprzewodowo za pomocą pilota. Pilot umożliwiający uruchomienie </w:t>
            </w:r>
            <w:proofErr w:type="spellStart"/>
            <w:r>
              <w:t>optotypu</w:t>
            </w:r>
            <w:proofErr w:type="spellEnd"/>
            <w:r>
              <w:t xml:space="preserve">, podświetlenie całego rzędu znaków lub wybranego znaku, wybór rodzaju podświetlenia, zmianę trybu pracy (zaznaczanie wiersza/znaku), wygaszanie </w:t>
            </w:r>
            <w:proofErr w:type="spellStart"/>
            <w:r>
              <w:t>optotypu</w:t>
            </w:r>
            <w:proofErr w:type="spellEnd"/>
            <w:r>
              <w:t xml:space="preserve"> oraz wybór kierunku przemieszczania się kursora. Tablica wyposażona w automatyczne wyłączanie po 5 minutach bezczynności. W zestawie z tablicą dostępny </w:t>
            </w:r>
            <w:proofErr w:type="spellStart"/>
            <w:r>
              <w:t>optotyp</w:t>
            </w:r>
            <w:proofErr w:type="spellEnd"/>
            <w:r>
              <w:t xml:space="preserve"> cyfry (CN), </w:t>
            </w:r>
            <w:proofErr w:type="spellStart"/>
            <w:r>
              <w:t>optotyp</w:t>
            </w:r>
            <w:proofErr w:type="spellEnd"/>
            <w:r>
              <w:t xml:space="preserve"> litery oraz (LN)</w:t>
            </w:r>
            <w:proofErr w:type="spellStart"/>
            <w:r>
              <w:t>optotyp</w:t>
            </w:r>
            <w:proofErr w:type="spellEnd"/>
            <w:r>
              <w:t xml:space="preserve"> obrazki dla dzieci (ON).</w:t>
            </w:r>
          </w:p>
          <w:p w14:paraId="08985734" w14:textId="77777777" w:rsidR="00E54EA5" w:rsidRDefault="00E54EA5" w:rsidP="00185CBA">
            <w:pPr>
              <w:spacing w:line="276" w:lineRule="auto"/>
            </w:pPr>
            <w:r>
              <w:t>Optymalna odległość badania ≤5 m</w:t>
            </w:r>
          </w:p>
          <w:p w14:paraId="57562966" w14:textId="77777777" w:rsidR="00E54EA5" w:rsidRDefault="00E54EA5" w:rsidP="00185CBA">
            <w:pPr>
              <w:spacing w:line="276" w:lineRule="auto"/>
            </w:pPr>
            <w:r>
              <w:t>Źródło światła Diody elektroluminescencyjne (LED)</w:t>
            </w:r>
          </w:p>
          <w:p w14:paraId="39BDD8B5" w14:textId="1F7F2126" w:rsidR="00E54EA5" w:rsidRDefault="00E54EA5" w:rsidP="00185CBA">
            <w:pPr>
              <w:spacing w:line="276" w:lineRule="auto"/>
            </w:pPr>
            <w:r>
              <w:t>Zasilanie 230 V, długość przewodu 3 m</w:t>
            </w:r>
          </w:p>
        </w:tc>
      </w:tr>
      <w:tr w:rsidR="00E54EA5" w14:paraId="7BFF9E43" w14:textId="77777777" w:rsidTr="0036332B">
        <w:trPr>
          <w:trHeight w:val="258"/>
        </w:trPr>
        <w:tc>
          <w:tcPr>
            <w:tcW w:w="1467" w:type="dxa"/>
            <w:vMerge/>
          </w:tcPr>
          <w:p w14:paraId="1993D2C7" w14:textId="77777777" w:rsidR="00E54EA5" w:rsidRDefault="00E54EA5" w:rsidP="00787AE9"/>
        </w:tc>
        <w:tc>
          <w:tcPr>
            <w:tcW w:w="2503" w:type="dxa"/>
            <w:vAlign w:val="center"/>
          </w:tcPr>
          <w:p w14:paraId="5709E5DF" w14:textId="52987882" w:rsidR="00E54EA5" w:rsidRDefault="00E54EA5" w:rsidP="00FC2739">
            <w:r w:rsidRPr="00185CBA">
              <w:t xml:space="preserve">Zakup </w:t>
            </w:r>
            <w:proofErr w:type="spellStart"/>
            <w:r w:rsidRPr="00185CBA">
              <w:t>termomertów</w:t>
            </w:r>
            <w:proofErr w:type="spellEnd"/>
            <w:r w:rsidRPr="00185CBA">
              <w:t xml:space="preserve"> bezdotykowych</w:t>
            </w:r>
          </w:p>
        </w:tc>
        <w:tc>
          <w:tcPr>
            <w:tcW w:w="1276" w:type="dxa"/>
            <w:vAlign w:val="center"/>
          </w:tcPr>
          <w:p w14:paraId="31C48417" w14:textId="118AF436" w:rsidR="00E54EA5" w:rsidRDefault="00E54EA5" w:rsidP="00395429">
            <w:r>
              <w:t>szt. 7</w:t>
            </w:r>
          </w:p>
        </w:tc>
        <w:tc>
          <w:tcPr>
            <w:tcW w:w="4536" w:type="dxa"/>
            <w:vAlign w:val="center"/>
          </w:tcPr>
          <w:p w14:paraId="0DA22969" w14:textId="77777777" w:rsidR="00E54EA5" w:rsidRDefault="00E54EA5" w:rsidP="00185CBA">
            <w:pPr>
              <w:spacing w:line="276" w:lineRule="auto"/>
            </w:pPr>
            <w:r>
              <w:t>Bezdotykowy medyczny termometr elektronicznych z zakresem pomiaru:32-43</w:t>
            </w:r>
            <w:r>
              <w:rPr>
                <w:rFonts w:ascii="Cambria Math" w:hAnsi="Cambria Math" w:cs="Cambria Math"/>
              </w:rPr>
              <w:t>℃</w:t>
            </w:r>
          </w:p>
          <w:p w14:paraId="5B0C254B" w14:textId="211B51ED" w:rsidR="00E54EA5" w:rsidRDefault="00E54EA5" w:rsidP="00185CBA">
            <w:pPr>
              <w:spacing w:line="276" w:lineRule="auto"/>
            </w:pPr>
            <w:r>
              <w:t>Jednostka pomiaru</w:t>
            </w:r>
            <w:r>
              <w:rPr>
                <w:rFonts w:ascii="Cambria Math" w:hAnsi="Cambria Math" w:cs="Cambria Math"/>
              </w:rPr>
              <w:t>℃</w:t>
            </w:r>
            <w:r>
              <w:t>. Czas pomiaru max 5 sek. Automatyczne wy</w:t>
            </w:r>
            <w:r>
              <w:rPr>
                <w:rFonts w:ascii="Calibri" w:hAnsi="Calibri" w:cs="Calibri"/>
              </w:rPr>
              <w:t>łą</w:t>
            </w:r>
            <w:r>
              <w:t>czenie po 30 sek. Wyr</w:t>
            </w:r>
            <w:r>
              <w:rPr>
                <w:rFonts w:ascii="Calibri" w:hAnsi="Calibri" w:cs="Calibri"/>
              </w:rPr>
              <w:t>ó</w:t>
            </w:r>
            <w:r>
              <w:t>b medyczny, atestowany.</w:t>
            </w:r>
          </w:p>
        </w:tc>
      </w:tr>
      <w:tr w:rsidR="00E54EA5" w14:paraId="4E6C5DBA" w14:textId="77777777" w:rsidTr="0036332B">
        <w:trPr>
          <w:trHeight w:val="258"/>
        </w:trPr>
        <w:tc>
          <w:tcPr>
            <w:tcW w:w="1467" w:type="dxa"/>
            <w:vMerge/>
          </w:tcPr>
          <w:p w14:paraId="22A71616" w14:textId="77777777" w:rsidR="00E54EA5" w:rsidRDefault="00E54EA5" w:rsidP="00787AE9"/>
        </w:tc>
        <w:tc>
          <w:tcPr>
            <w:tcW w:w="2503" w:type="dxa"/>
            <w:vAlign w:val="center"/>
          </w:tcPr>
          <w:p w14:paraId="7F070ED9" w14:textId="01F17377" w:rsidR="00E54EA5" w:rsidRDefault="00E54EA5" w:rsidP="00FC2739">
            <w:r w:rsidRPr="000D25EB">
              <w:t>Zakup detektora tętna płodu</w:t>
            </w:r>
          </w:p>
        </w:tc>
        <w:tc>
          <w:tcPr>
            <w:tcW w:w="1276" w:type="dxa"/>
            <w:vAlign w:val="center"/>
          </w:tcPr>
          <w:p w14:paraId="4CD19843" w14:textId="1DB16CE8" w:rsidR="00E54EA5" w:rsidRDefault="00E54EA5" w:rsidP="00395429">
            <w:r>
              <w:t>szt. 2</w:t>
            </w:r>
          </w:p>
        </w:tc>
        <w:tc>
          <w:tcPr>
            <w:tcW w:w="4536" w:type="dxa"/>
            <w:vAlign w:val="center"/>
          </w:tcPr>
          <w:p w14:paraId="66247496" w14:textId="77777777" w:rsidR="00E54EA5" w:rsidRDefault="00E54EA5" w:rsidP="000D25EB">
            <w:pPr>
              <w:spacing w:line="276" w:lineRule="auto"/>
            </w:pPr>
            <w:r>
              <w:t>Wyświetlacz TFT 1.77"</w:t>
            </w:r>
          </w:p>
          <w:p w14:paraId="1F997A35" w14:textId="77777777" w:rsidR="00E54EA5" w:rsidRDefault="00E54EA5" w:rsidP="000D25EB">
            <w:pPr>
              <w:spacing w:line="276" w:lineRule="auto"/>
            </w:pPr>
            <w:r>
              <w:t>Zakres pomiaru częstotliwości tętna: 50BPM-240BPM (uderzeń na minutę)</w:t>
            </w:r>
          </w:p>
          <w:p w14:paraId="5DF20351" w14:textId="77777777" w:rsidR="00E54EA5" w:rsidRDefault="00E54EA5" w:rsidP="000D25EB">
            <w:pPr>
              <w:spacing w:line="276" w:lineRule="auto"/>
            </w:pPr>
            <w:r>
              <w:t xml:space="preserve"> sondy 2.5MHz</w:t>
            </w:r>
          </w:p>
          <w:p w14:paraId="28761FE1" w14:textId="77777777" w:rsidR="00E54EA5" w:rsidRDefault="00E54EA5" w:rsidP="000D25EB">
            <w:pPr>
              <w:spacing w:line="276" w:lineRule="auto"/>
            </w:pPr>
            <w:r>
              <w:t>Waga: 250g z bateriami</w:t>
            </w:r>
          </w:p>
          <w:p w14:paraId="56B1D254" w14:textId="77777777" w:rsidR="00E54EA5" w:rsidRDefault="00E54EA5" w:rsidP="000D25EB">
            <w:pPr>
              <w:spacing w:line="276" w:lineRule="auto"/>
            </w:pPr>
          </w:p>
          <w:p w14:paraId="7EDEC750" w14:textId="77777777" w:rsidR="00E54EA5" w:rsidRDefault="00E54EA5" w:rsidP="000D25EB">
            <w:pPr>
              <w:spacing w:line="276" w:lineRule="auto"/>
            </w:pPr>
            <w:r>
              <w:t>Zasilanie: akumulator 14500, Lin(DC 3.7V)</w:t>
            </w:r>
          </w:p>
          <w:p w14:paraId="4391505B" w14:textId="77777777" w:rsidR="00E54EA5" w:rsidRDefault="00E54EA5" w:rsidP="000D25EB">
            <w:pPr>
              <w:spacing w:line="276" w:lineRule="auto"/>
            </w:pPr>
            <w:r>
              <w:t>Przeznaczony do pracy ciągłej</w:t>
            </w:r>
          </w:p>
          <w:p w14:paraId="1FCB1EE1" w14:textId="38C49C7C" w:rsidR="00E54EA5" w:rsidRDefault="00E54EA5" w:rsidP="000D25EB">
            <w:pPr>
              <w:spacing w:line="276" w:lineRule="auto"/>
            </w:pPr>
            <w:r>
              <w:t>Deklaracja zgodności Certyfikat CE 0123</w:t>
            </w:r>
          </w:p>
        </w:tc>
      </w:tr>
      <w:tr w:rsidR="00E54EA5" w14:paraId="2238EB3D" w14:textId="77777777" w:rsidTr="0036332B">
        <w:trPr>
          <w:trHeight w:val="258"/>
        </w:trPr>
        <w:tc>
          <w:tcPr>
            <w:tcW w:w="1467" w:type="dxa"/>
            <w:vMerge/>
          </w:tcPr>
          <w:p w14:paraId="68620E2B" w14:textId="77777777" w:rsidR="00E54EA5" w:rsidRDefault="00E54EA5" w:rsidP="00787AE9"/>
        </w:tc>
        <w:tc>
          <w:tcPr>
            <w:tcW w:w="2503" w:type="dxa"/>
            <w:vAlign w:val="center"/>
          </w:tcPr>
          <w:p w14:paraId="14C66A74" w14:textId="03A71322" w:rsidR="00E54EA5" w:rsidRDefault="00E54EA5" w:rsidP="00FC2739">
            <w:r w:rsidRPr="000D25EB">
              <w:t xml:space="preserve">Zakup tablic typu </w:t>
            </w:r>
            <w:proofErr w:type="spellStart"/>
            <w:r w:rsidRPr="000D25EB">
              <w:t>ishihary</w:t>
            </w:r>
            <w:proofErr w:type="spellEnd"/>
            <w:r w:rsidRPr="000D25EB">
              <w:t xml:space="preserve"> 38 tablic</w:t>
            </w:r>
          </w:p>
        </w:tc>
        <w:tc>
          <w:tcPr>
            <w:tcW w:w="1276" w:type="dxa"/>
            <w:vAlign w:val="center"/>
          </w:tcPr>
          <w:p w14:paraId="1AEEAE06" w14:textId="118D7AD5" w:rsidR="00E54EA5" w:rsidRDefault="00E54EA5" w:rsidP="00395429">
            <w:r>
              <w:t>szt. 4</w:t>
            </w:r>
          </w:p>
        </w:tc>
        <w:tc>
          <w:tcPr>
            <w:tcW w:w="4536" w:type="dxa"/>
            <w:vAlign w:val="center"/>
          </w:tcPr>
          <w:p w14:paraId="5196D367" w14:textId="5C76FAE0" w:rsidR="00E54EA5" w:rsidRDefault="00E54EA5" w:rsidP="000B4FF2">
            <w:pPr>
              <w:spacing w:line="276" w:lineRule="auto"/>
            </w:pPr>
            <w:r>
              <w:t>Z</w:t>
            </w:r>
            <w:r w:rsidRPr="000D25EB">
              <w:t>estaw tablic ISHIHARA 38-tablic (pełny zestaw)</w:t>
            </w:r>
          </w:p>
        </w:tc>
      </w:tr>
    </w:tbl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C7313" w:rsidRPr="00EA0F1A" w14:paraId="4D6E60D0" w14:textId="77777777" w:rsidTr="000D25EB">
        <w:trPr>
          <w:trHeight w:hRule="exact" w:val="5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t>OGÓLNE WYMAGANIA DOTYCZĄCE PRZEDMIOTU ZAMÓWIENIA</w:t>
            </w:r>
          </w:p>
        </w:tc>
      </w:tr>
      <w:tr w:rsidR="005C7313" w:rsidRPr="00EA0F1A" w14:paraId="023352CB" w14:textId="77777777" w:rsidTr="000D25EB">
        <w:trPr>
          <w:trHeight w:hRule="exact" w:val="28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0D25EB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0D25EB">
        <w:trPr>
          <w:trHeight w:hRule="exact" w:val="8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2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2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E01B" w14:textId="77777777" w:rsidR="005D3BAE" w:rsidRDefault="005D3BAE" w:rsidP="00063271">
      <w:pPr>
        <w:spacing w:after="0" w:line="240" w:lineRule="auto"/>
      </w:pPr>
      <w:r>
        <w:separator/>
      </w:r>
    </w:p>
  </w:endnote>
  <w:endnote w:type="continuationSeparator" w:id="0">
    <w:p w14:paraId="14339DBC" w14:textId="77777777" w:rsidR="005D3BAE" w:rsidRDefault="005D3BAE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9CBC1" w14:textId="77777777" w:rsidR="005D3BAE" w:rsidRDefault="005D3BAE" w:rsidP="00063271">
      <w:pPr>
        <w:spacing w:after="0" w:line="240" w:lineRule="auto"/>
      </w:pPr>
      <w:r>
        <w:separator/>
      </w:r>
    </w:p>
  </w:footnote>
  <w:footnote w:type="continuationSeparator" w:id="0">
    <w:p w14:paraId="205EF908" w14:textId="77777777" w:rsidR="005D3BAE" w:rsidRDefault="005D3BAE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num w:numId="1" w16cid:durableId="1256745953">
    <w:abstractNumId w:val="1"/>
  </w:num>
  <w:num w:numId="2" w16cid:durableId="15777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2"/>
    <w:rsid w:val="00005549"/>
    <w:rsid w:val="00027949"/>
    <w:rsid w:val="00032589"/>
    <w:rsid w:val="00034C80"/>
    <w:rsid w:val="00045B86"/>
    <w:rsid w:val="00056846"/>
    <w:rsid w:val="00057AAB"/>
    <w:rsid w:val="00063271"/>
    <w:rsid w:val="00066415"/>
    <w:rsid w:val="000B4FF2"/>
    <w:rsid w:val="000C2C18"/>
    <w:rsid w:val="000C5F19"/>
    <w:rsid w:val="000D25EB"/>
    <w:rsid w:val="000E3EEC"/>
    <w:rsid w:val="000F4A47"/>
    <w:rsid w:val="00112483"/>
    <w:rsid w:val="001278D2"/>
    <w:rsid w:val="001749A2"/>
    <w:rsid w:val="00175AE2"/>
    <w:rsid w:val="00180FF9"/>
    <w:rsid w:val="00185CBA"/>
    <w:rsid w:val="001A4043"/>
    <w:rsid w:val="001D3F55"/>
    <w:rsid w:val="001F6A44"/>
    <w:rsid w:val="00220FFB"/>
    <w:rsid w:val="00224165"/>
    <w:rsid w:val="00227BE5"/>
    <w:rsid w:val="00236472"/>
    <w:rsid w:val="0025489E"/>
    <w:rsid w:val="00260116"/>
    <w:rsid w:val="003217CD"/>
    <w:rsid w:val="003357A7"/>
    <w:rsid w:val="00350FCF"/>
    <w:rsid w:val="0036332B"/>
    <w:rsid w:val="00395429"/>
    <w:rsid w:val="003B27A7"/>
    <w:rsid w:val="003B6506"/>
    <w:rsid w:val="0040003D"/>
    <w:rsid w:val="00412BE7"/>
    <w:rsid w:val="0042189A"/>
    <w:rsid w:val="004238A4"/>
    <w:rsid w:val="0043335F"/>
    <w:rsid w:val="00434D1E"/>
    <w:rsid w:val="00461CE6"/>
    <w:rsid w:val="00473BC5"/>
    <w:rsid w:val="00476900"/>
    <w:rsid w:val="004B409C"/>
    <w:rsid w:val="004C309C"/>
    <w:rsid w:val="004D5DF8"/>
    <w:rsid w:val="004D71AB"/>
    <w:rsid w:val="00500155"/>
    <w:rsid w:val="005174A8"/>
    <w:rsid w:val="0054275D"/>
    <w:rsid w:val="00544D1B"/>
    <w:rsid w:val="00560E2A"/>
    <w:rsid w:val="005670D5"/>
    <w:rsid w:val="005B7E1D"/>
    <w:rsid w:val="005C7313"/>
    <w:rsid w:val="005D3BAE"/>
    <w:rsid w:val="005F42DD"/>
    <w:rsid w:val="00645251"/>
    <w:rsid w:val="006466A7"/>
    <w:rsid w:val="0066242A"/>
    <w:rsid w:val="0067492C"/>
    <w:rsid w:val="006A20A9"/>
    <w:rsid w:val="006E0B3F"/>
    <w:rsid w:val="006F03F4"/>
    <w:rsid w:val="007119C1"/>
    <w:rsid w:val="00732E09"/>
    <w:rsid w:val="00753F57"/>
    <w:rsid w:val="00776A03"/>
    <w:rsid w:val="00780092"/>
    <w:rsid w:val="00786237"/>
    <w:rsid w:val="00787AE9"/>
    <w:rsid w:val="008172C6"/>
    <w:rsid w:val="0086253C"/>
    <w:rsid w:val="00894C82"/>
    <w:rsid w:val="008C2E41"/>
    <w:rsid w:val="008C52F4"/>
    <w:rsid w:val="008D582F"/>
    <w:rsid w:val="008D59D8"/>
    <w:rsid w:val="008F33E7"/>
    <w:rsid w:val="009528C6"/>
    <w:rsid w:val="0095664A"/>
    <w:rsid w:val="00957D77"/>
    <w:rsid w:val="009648D0"/>
    <w:rsid w:val="0097609F"/>
    <w:rsid w:val="00980C74"/>
    <w:rsid w:val="00984DE2"/>
    <w:rsid w:val="009878A6"/>
    <w:rsid w:val="009C1123"/>
    <w:rsid w:val="009C28C8"/>
    <w:rsid w:val="009D0CB5"/>
    <w:rsid w:val="00A06B27"/>
    <w:rsid w:val="00A17FEE"/>
    <w:rsid w:val="00A4398D"/>
    <w:rsid w:val="00A66C3A"/>
    <w:rsid w:val="00A813E9"/>
    <w:rsid w:val="00A96F66"/>
    <w:rsid w:val="00AA4941"/>
    <w:rsid w:val="00AA6EAF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635F9"/>
    <w:rsid w:val="00C84081"/>
    <w:rsid w:val="00C94FD9"/>
    <w:rsid w:val="00C95FE5"/>
    <w:rsid w:val="00D54C2A"/>
    <w:rsid w:val="00D835CA"/>
    <w:rsid w:val="00DB05AC"/>
    <w:rsid w:val="00DC763E"/>
    <w:rsid w:val="00DD462A"/>
    <w:rsid w:val="00DE4F1C"/>
    <w:rsid w:val="00E0093F"/>
    <w:rsid w:val="00E22DA8"/>
    <w:rsid w:val="00E31B42"/>
    <w:rsid w:val="00E54EA5"/>
    <w:rsid w:val="00E83F14"/>
    <w:rsid w:val="00EC2CF6"/>
    <w:rsid w:val="00EF6248"/>
    <w:rsid w:val="00F026EF"/>
    <w:rsid w:val="00F268CE"/>
    <w:rsid w:val="00F277B9"/>
    <w:rsid w:val="00F36356"/>
    <w:rsid w:val="00F47A50"/>
    <w:rsid w:val="00F85844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  <w:style w:type="character" w:customStyle="1" w:styleId="Teksttreci">
    <w:name w:val="Tekst treści_"/>
    <w:basedOn w:val="Domylnaczcionkaakapitu"/>
    <w:link w:val="Teksttreci0"/>
    <w:uiPriority w:val="99"/>
    <w:rsid w:val="00185CBA"/>
    <w:rPr>
      <w:rFonts w:ascii="Times New Roman" w:hAnsi="Times New Roman"/>
      <w:color w:val="000000"/>
    </w:rPr>
  </w:style>
  <w:style w:type="paragraph" w:customStyle="1" w:styleId="Teksttreci0">
    <w:name w:val="Tekst treści"/>
    <w:basedOn w:val="Normalny"/>
    <w:link w:val="Teksttreci"/>
    <w:uiPriority w:val="99"/>
    <w:rsid w:val="00185CBA"/>
    <w:pPr>
      <w:widowControl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6</cp:revision>
  <cp:lastPrinted>2022-07-05T16:21:00Z</cp:lastPrinted>
  <dcterms:created xsi:type="dcterms:W3CDTF">2025-03-12T11:30:00Z</dcterms:created>
  <dcterms:modified xsi:type="dcterms:W3CDTF">2025-03-15T08:56:00Z</dcterms:modified>
</cp:coreProperties>
</file>