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9F318" w14:textId="77777777" w:rsidR="00C30FD3" w:rsidRDefault="00C30FD3">
      <w:pPr>
        <w:pStyle w:val="Teksttreci30"/>
        <w:framePr w:w="1915" w:h="706" w:wrap="none" w:hAnchor="margin" w:x="433" w:y="2"/>
        <w:spacing w:line="166" w:lineRule="atLeast"/>
        <w:rPr>
          <w:rFonts w:ascii="DejaVu Sans" w:hAnsi="DejaVu Sans" w:cs="DejaVu Sans"/>
          <w:b w:val="0"/>
          <w:bCs w:val="0"/>
          <w:color w:val="auto"/>
          <w:sz w:val="24"/>
          <w:szCs w:val="24"/>
        </w:rPr>
      </w:pPr>
      <w:r>
        <w:rPr>
          <w:rStyle w:val="Teksttreci3"/>
          <w:rFonts w:ascii="Times New Roman" w:hAnsi="Times New Roman" w:cs="Times New Roman"/>
          <w:b/>
          <w:bCs/>
          <w:color w:val="000000"/>
          <w:sz w:val="18"/>
          <w:szCs w:val="18"/>
        </w:rPr>
        <w:t>a</w:t>
      </w:r>
      <w:r>
        <w:rPr>
          <w:rStyle w:val="Teksttreci3"/>
          <w:b/>
          <w:bCs/>
          <w:color w:val="1F378D"/>
        </w:rPr>
        <w:t xml:space="preserve"> </w:t>
      </w:r>
      <w:r>
        <w:rPr>
          <w:rStyle w:val="Teksttreci3"/>
          <w:b/>
          <w:bCs/>
        </w:rPr>
        <w:t>Fundusze Europejskie na Infrastrukturę, Klimat, Środowisko</w:t>
      </w:r>
    </w:p>
    <w:p w14:paraId="457F98D1" w14:textId="77777777" w:rsidR="00C30FD3" w:rsidRDefault="00C30FD3">
      <w:pPr>
        <w:pStyle w:val="Podpisobrazu0"/>
        <w:framePr w:w="1037" w:h="379" w:wrap="none" w:hAnchor="margin" w:x="3476" w:y="193"/>
        <w:spacing w:line="271" w:lineRule="auto"/>
        <w:rPr>
          <w:rFonts w:ascii="DejaVu Sans" w:hAnsi="DejaVu Sans" w:cs="DejaVu Sans"/>
          <w:b w:val="0"/>
          <w:bCs w:val="0"/>
          <w:color w:val="auto"/>
          <w:sz w:val="24"/>
          <w:szCs w:val="24"/>
        </w:rPr>
      </w:pPr>
      <w:r>
        <w:rPr>
          <w:rStyle w:val="Podpisobrazu"/>
          <w:b/>
          <w:bCs/>
        </w:rPr>
        <w:t>Rzeczpospolita Polska</w:t>
      </w:r>
    </w:p>
    <w:p w14:paraId="4B166424" w14:textId="77777777" w:rsidR="00C30FD3" w:rsidRDefault="00C30FD3">
      <w:pPr>
        <w:pStyle w:val="Podpisobrazu0"/>
        <w:framePr w:w="1450" w:h="370" w:wrap="none" w:hAnchor="margin" w:x="4782" w:y="193"/>
        <w:spacing w:line="262" w:lineRule="auto"/>
        <w:jc w:val="right"/>
        <w:rPr>
          <w:rFonts w:ascii="DejaVu Sans" w:hAnsi="DejaVu Sans" w:cs="DejaVu Sans"/>
          <w:b w:val="0"/>
          <w:bCs w:val="0"/>
          <w:color w:val="auto"/>
          <w:sz w:val="24"/>
          <w:szCs w:val="24"/>
        </w:rPr>
      </w:pPr>
      <w:r>
        <w:rPr>
          <w:rStyle w:val="Podpisobrazu"/>
          <w:b/>
          <w:bCs/>
        </w:rPr>
        <w:t>Dofinansowane przez Unię Europejską</w:t>
      </w:r>
    </w:p>
    <w:p w14:paraId="350C873B" w14:textId="77777777" w:rsidR="00C30FD3" w:rsidRDefault="00C30FD3">
      <w:pPr>
        <w:pStyle w:val="Nagwek10"/>
        <w:keepNext/>
        <w:keepLines/>
        <w:framePr w:w="1378" w:h="648" w:wrap="none" w:hAnchor="margin" w:x="7878" w:y="15"/>
        <w:rPr>
          <w:rFonts w:ascii="DejaVu Sans" w:hAnsi="DejaVu Sans" w:cs="DejaVu Sans"/>
          <w:b w:val="0"/>
          <w:bCs w:val="0"/>
          <w:color w:val="auto"/>
          <w:sz w:val="24"/>
          <w:szCs w:val="24"/>
        </w:rPr>
      </w:pPr>
      <w:bookmarkStart w:id="0" w:name="bookmark0"/>
      <w:r>
        <w:rPr>
          <w:rStyle w:val="Nagwek1"/>
          <w:b/>
          <w:bCs/>
        </w:rPr>
        <w:t>NFZ</w:t>
      </w:r>
      <w:bookmarkEnd w:id="0"/>
    </w:p>
    <w:p w14:paraId="3CACA738" w14:textId="77777777" w:rsidR="00C30FD3" w:rsidRDefault="00C30FD3">
      <w:pPr>
        <w:pStyle w:val="Teksttreci50"/>
        <w:framePr w:w="1378" w:h="648" w:wrap="none" w:hAnchor="margin" w:x="7878" w:y="15"/>
        <w:rPr>
          <w:rFonts w:ascii="DejaVu Sans" w:hAnsi="DejaVu Sans" w:cs="DejaVu Sans"/>
          <w:b w:val="0"/>
          <w:bCs w:val="0"/>
          <w:color w:val="auto"/>
          <w:sz w:val="24"/>
          <w:szCs w:val="24"/>
        </w:rPr>
      </w:pPr>
      <w:r>
        <w:rPr>
          <w:rStyle w:val="Teksttreci5"/>
          <w:b/>
          <w:bCs/>
        </w:rPr>
        <w:t>Narodowy Fundusz Zdrowia</w:t>
      </w:r>
    </w:p>
    <w:p w14:paraId="4697DF71" w14:textId="49DD875A" w:rsidR="00C30FD3" w:rsidRDefault="003E57FA">
      <w:pPr>
        <w:spacing w:after="705" w:line="1" w:lineRule="exact"/>
        <w:rPr>
          <w:color w:val="auto"/>
        </w:rPr>
      </w:pPr>
      <w:r>
        <w:rPr>
          <w:noProof/>
        </w:rPr>
        <w:drawing>
          <wp:anchor distT="0" distB="0" distL="0" distR="704215" simplePos="0" relativeHeight="251658240" behindDoc="1" locked="0" layoutInCell="1" allowOverlap="1" wp14:anchorId="2B8748C3" wp14:editId="074DAC74">
            <wp:simplePos x="0" y="0"/>
            <wp:positionH relativeFrom="margin">
              <wp:posOffset>1670050</wp:posOffset>
            </wp:positionH>
            <wp:positionV relativeFrom="margin">
              <wp:posOffset>73025</wp:posOffset>
            </wp:positionV>
            <wp:extent cx="494030" cy="3352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966470" distR="0" simplePos="0" relativeHeight="251659264" behindDoc="1" locked="0" layoutInCell="1" allowOverlap="1" wp14:anchorId="7FFF2446" wp14:editId="7E2330AB">
            <wp:simplePos x="0" y="0"/>
            <wp:positionH relativeFrom="margin">
              <wp:posOffset>4002405</wp:posOffset>
            </wp:positionH>
            <wp:positionV relativeFrom="margin">
              <wp:posOffset>73025</wp:posOffset>
            </wp:positionV>
            <wp:extent cx="494030" cy="335280"/>
            <wp:effectExtent l="0" t="0" r="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3D28F" w14:textId="77777777" w:rsidR="00C30FD3" w:rsidRDefault="00C30FD3">
      <w:pPr>
        <w:spacing w:line="1" w:lineRule="exact"/>
        <w:rPr>
          <w:color w:val="auto"/>
        </w:rPr>
        <w:sectPr w:rsidR="00C30FD3">
          <w:pgSz w:w="11906" w:h="16838"/>
          <w:pgMar w:top="403" w:right="844" w:bottom="424" w:left="1266" w:header="0" w:footer="3" w:gutter="0"/>
          <w:pgNumType w:start="1"/>
          <w:cols w:space="708"/>
          <w:noEndnote/>
          <w:docGrid w:linePitch="360"/>
        </w:sectPr>
      </w:pPr>
    </w:p>
    <w:p w14:paraId="4F918FFD" w14:textId="77777777" w:rsidR="00C30FD3" w:rsidRDefault="00C30FD3">
      <w:pPr>
        <w:spacing w:before="9" w:after="9" w:line="240" w:lineRule="exact"/>
        <w:rPr>
          <w:color w:val="auto"/>
        </w:rPr>
      </w:pPr>
    </w:p>
    <w:p w14:paraId="1E4DC729" w14:textId="77777777" w:rsidR="00C30FD3" w:rsidRDefault="00C30FD3">
      <w:pPr>
        <w:spacing w:line="1" w:lineRule="exact"/>
        <w:rPr>
          <w:color w:val="auto"/>
        </w:rPr>
        <w:sectPr w:rsidR="00C30FD3">
          <w:type w:val="continuous"/>
          <w:pgSz w:w="11906" w:h="16838"/>
          <w:pgMar w:top="422" w:right="0" w:bottom="289" w:left="0" w:header="0" w:footer="3" w:gutter="0"/>
          <w:cols w:space="708"/>
          <w:noEndnote/>
          <w:docGrid w:linePitch="360"/>
        </w:sectPr>
      </w:pPr>
    </w:p>
    <w:p w14:paraId="28DE391A" w14:textId="77777777" w:rsidR="00C30FD3" w:rsidRDefault="00C30FD3">
      <w:pPr>
        <w:pStyle w:val="Teksttreci40"/>
        <w:spacing w:after="660" w:line="240" w:lineRule="auto"/>
        <w:ind w:right="560"/>
        <w:jc w:val="right"/>
        <w:rPr>
          <w:rFonts w:ascii="DejaVu Sans" w:hAnsi="DejaVu Sans" w:cs="DejaVu Sans"/>
          <w:b w:val="0"/>
          <w:bCs w:val="0"/>
          <w:sz w:val="24"/>
          <w:szCs w:val="24"/>
        </w:rPr>
      </w:pPr>
      <w:r>
        <w:rPr>
          <w:rStyle w:val="Teksttreci4"/>
          <w:b/>
          <w:bCs/>
        </w:rPr>
        <w:t>Załącznik nr 1.7 do SWZ</w:t>
      </w:r>
    </w:p>
    <w:p w14:paraId="70415FAD" w14:textId="77777777" w:rsidR="00C30FD3" w:rsidRDefault="00C30FD3">
      <w:pPr>
        <w:pStyle w:val="Teksttreci40"/>
        <w:spacing w:after="260" w:line="223" w:lineRule="auto"/>
        <w:ind w:right="0"/>
        <w:rPr>
          <w:rFonts w:ascii="DejaVu Sans" w:hAnsi="DejaVu Sans" w:cs="DejaVu Sans"/>
          <w:b w:val="0"/>
          <w:bCs w:val="0"/>
          <w:sz w:val="24"/>
          <w:szCs w:val="24"/>
        </w:rPr>
      </w:pPr>
      <w:r>
        <w:rPr>
          <w:rStyle w:val="Teksttreci4"/>
          <w:b/>
          <w:bCs/>
        </w:rPr>
        <w:t xml:space="preserve">OPIS PRZEDMIOTU </w:t>
      </w:r>
      <w:r>
        <w:rPr>
          <w:rStyle w:val="Teksttreci4"/>
          <w:b/>
          <w:bCs/>
          <w:sz w:val="26"/>
          <w:szCs w:val="26"/>
        </w:rPr>
        <w:t>ZAMÓWIENIA</w:t>
      </w:r>
    </w:p>
    <w:p w14:paraId="170069C2" w14:textId="77777777" w:rsidR="00C30FD3" w:rsidRDefault="00C30FD3">
      <w:pPr>
        <w:pStyle w:val="Teksttreci20"/>
        <w:rPr>
          <w:rFonts w:ascii="DejaVu Sans" w:hAnsi="DejaVu Sans" w:cs="DejaVu Sans"/>
          <w:b w:val="0"/>
          <w:bCs w:val="0"/>
          <w:sz w:val="24"/>
          <w:szCs w:val="24"/>
        </w:rPr>
      </w:pPr>
      <w:r>
        <w:rPr>
          <w:rStyle w:val="Teksttreci2"/>
          <w:b/>
          <w:bCs/>
        </w:rPr>
        <w:t>„Zakup sprzętu medycznego, IT oraz oprogramowania dla Przychodni</w:t>
      </w:r>
      <w:r>
        <w:rPr>
          <w:rStyle w:val="Teksttreci2"/>
          <w:b/>
          <w:bCs/>
        </w:rPr>
        <w:br/>
        <w:t>Zdrowia w Kalwarii Zebrzydowskiej w ramach Projektu grantowego pn.</w:t>
      </w:r>
      <w:r>
        <w:rPr>
          <w:rStyle w:val="Teksttreci2"/>
          <w:b/>
          <w:bCs/>
        </w:rPr>
        <w:br/>
        <w:t>„Wsparcie podstawowej opieki zdrowotnej (POZ)”realizowanego w ramach</w:t>
      </w:r>
      <w:r>
        <w:rPr>
          <w:rStyle w:val="Teksttreci2"/>
          <w:b/>
          <w:bCs/>
        </w:rPr>
        <w:br/>
        <w:t>Działania FENX.06.01 System ochrony zdrowia Programu Fundusze</w:t>
      </w:r>
      <w:r>
        <w:rPr>
          <w:rStyle w:val="Teksttreci2"/>
          <w:b/>
          <w:bCs/>
        </w:rPr>
        <w:br/>
        <w:t>Europejskie na Infrastrukturę, Klimat, Środowisko 2021- 2027 (FEnIKS)”</w:t>
      </w:r>
    </w:p>
    <w:p w14:paraId="05E5FF56" w14:textId="77777777" w:rsidR="00C30FD3" w:rsidRDefault="00C30FD3">
      <w:pPr>
        <w:pStyle w:val="Teksttreci0"/>
        <w:spacing w:after="260"/>
        <w:jc w:val="center"/>
        <w:rPr>
          <w:rFonts w:ascii="DejaVu Sans" w:hAnsi="DejaVu Sans" w:cs="DejaVu Sans"/>
          <w:sz w:val="24"/>
          <w:szCs w:val="24"/>
        </w:rPr>
      </w:pPr>
      <w:r>
        <w:rPr>
          <w:rStyle w:val="Teksttreci"/>
          <w:b/>
          <w:bCs/>
          <w:sz w:val="24"/>
          <w:szCs w:val="24"/>
        </w:rPr>
        <w:t>dot. postępowania o zamówienie publiczne obejmujące zakresem</w:t>
      </w:r>
      <w:r>
        <w:rPr>
          <w:rStyle w:val="Teksttreci"/>
          <w:b/>
          <w:bCs/>
          <w:sz w:val="24"/>
          <w:szCs w:val="24"/>
        </w:rPr>
        <w:br/>
        <w:t>Część VII: Zakup sprzętu komputerowego oraz oprogramowania.</w:t>
      </w:r>
      <w:r>
        <w:rPr>
          <w:rStyle w:val="Teksttreci"/>
          <w:b/>
          <w:bCs/>
          <w:sz w:val="24"/>
          <w:szCs w:val="24"/>
        </w:rPr>
        <w:br/>
      </w:r>
      <w:r>
        <w:rPr>
          <w:rStyle w:val="Teksttreci"/>
          <w:b/>
          <w:bCs/>
        </w:rPr>
        <w:t>Specyfikacja techniczna zawiera opis wymagań minimalnych</w:t>
      </w:r>
    </w:p>
    <w:p w14:paraId="63814122" w14:textId="77777777" w:rsidR="00C30FD3" w:rsidRDefault="00C30FD3">
      <w:pPr>
        <w:pStyle w:val="Teksttreci0"/>
        <w:spacing w:after="0"/>
        <w:ind w:firstLine="140"/>
        <w:rPr>
          <w:rFonts w:ascii="DejaVu Sans" w:hAnsi="DejaVu Sans" w:cs="DejaVu Sans"/>
          <w:sz w:val="24"/>
          <w:szCs w:val="24"/>
        </w:rPr>
      </w:pPr>
      <w:r>
        <w:rPr>
          <w:rStyle w:val="Teksttreci"/>
          <w:b/>
          <w:bCs/>
        </w:rPr>
        <w:t>CPV:</w:t>
      </w:r>
    </w:p>
    <w:p w14:paraId="70ACACB6" w14:textId="77777777" w:rsidR="00C30FD3" w:rsidRDefault="00C30FD3">
      <w:pPr>
        <w:pStyle w:val="Teksttreci0"/>
        <w:spacing w:after="0"/>
        <w:ind w:firstLine="140"/>
        <w:rPr>
          <w:rFonts w:ascii="DejaVu Sans" w:hAnsi="DejaVu Sans" w:cs="DejaVu Sans"/>
          <w:sz w:val="24"/>
          <w:szCs w:val="24"/>
        </w:rPr>
      </w:pPr>
      <w:r>
        <w:rPr>
          <w:rStyle w:val="Teksttreci"/>
        </w:rPr>
        <w:t>48821000-9 Serwery sieciowe</w:t>
      </w:r>
    </w:p>
    <w:p w14:paraId="2B6AA985" w14:textId="77777777" w:rsidR="00C30FD3" w:rsidRDefault="00C30FD3">
      <w:pPr>
        <w:pStyle w:val="Teksttreci0"/>
        <w:spacing w:after="0"/>
        <w:ind w:firstLine="140"/>
        <w:rPr>
          <w:rFonts w:ascii="DejaVu Sans" w:hAnsi="DejaVu Sans" w:cs="DejaVu Sans"/>
          <w:sz w:val="24"/>
          <w:szCs w:val="24"/>
        </w:rPr>
      </w:pPr>
      <w:r>
        <w:rPr>
          <w:rStyle w:val="Teksttreci"/>
        </w:rPr>
        <w:t>48000000-8 Pakiety oprogramowania i systemy informatyczne</w:t>
      </w:r>
    </w:p>
    <w:p w14:paraId="35F62045" w14:textId="77777777" w:rsidR="00C30FD3" w:rsidRDefault="00C30FD3">
      <w:pPr>
        <w:pStyle w:val="Teksttreci0"/>
        <w:spacing w:after="0"/>
        <w:ind w:firstLine="140"/>
        <w:rPr>
          <w:rFonts w:ascii="DejaVu Sans" w:hAnsi="DejaVu Sans" w:cs="DejaVu Sans"/>
          <w:sz w:val="24"/>
          <w:szCs w:val="24"/>
        </w:rPr>
      </w:pPr>
      <w:r>
        <w:rPr>
          <w:rStyle w:val="Teksttreci"/>
        </w:rPr>
        <w:t>48180000-3 Pakiety oprogramowania medycznego</w:t>
      </w:r>
    </w:p>
    <w:p w14:paraId="3E40BF73" w14:textId="77777777" w:rsidR="00C30FD3" w:rsidRDefault="00C30FD3">
      <w:pPr>
        <w:pStyle w:val="Teksttreci0"/>
        <w:spacing w:after="0"/>
        <w:ind w:firstLine="140"/>
        <w:rPr>
          <w:rFonts w:ascii="DejaVu Sans" w:hAnsi="DejaVu Sans" w:cs="DejaVu Sans"/>
          <w:sz w:val="24"/>
          <w:szCs w:val="24"/>
        </w:rPr>
      </w:pPr>
      <w:r>
        <w:rPr>
          <w:rStyle w:val="Teksttreci"/>
        </w:rPr>
        <w:t>30121200-5 Urządzenia fotokopiujące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6"/>
        <w:gridCol w:w="1930"/>
        <w:gridCol w:w="744"/>
        <w:gridCol w:w="5117"/>
      </w:tblGrid>
      <w:tr w:rsidR="00C30FD3" w14:paraId="1964D6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5E0B3"/>
            <w:vAlign w:val="center"/>
          </w:tcPr>
          <w:p w14:paraId="54FD6416" w14:textId="77777777" w:rsidR="00C30FD3" w:rsidRDefault="00C30FD3">
            <w:pPr>
              <w:pStyle w:val="Inne0"/>
              <w:ind w:firstLine="4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  <w:b/>
                <w:bCs/>
              </w:rPr>
              <w:t>KATEGORIA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5E0B3"/>
            <w:vAlign w:val="center"/>
          </w:tcPr>
          <w:p w14:paraId="17F57A82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  <w:b/>
                <w:bCs/>
              </w:rPr>
              <w:t>RODZAJ DOSTAWY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5E0B3"/>
            <w:vAlign w:val="center"/>
          </w:tcPr>
          <w:p w14:paraId="3F6990E3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  <w:b/>
                <w:bCs/>
              </w:rPr>
              <w:t>ILOŚĆ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/>
            <w:vAlign w:val="center"/>
          </w:tcPr>
          <w:p w14:paraId="4FE82F21" w14:textId="77777777" w:rsidR="00C30FD3" w:rsidRDefault="00C30FD3">
            <w:pPr>
              <w:pStyle w:val="Inne0"/>
              <w:jc w:val="center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  <w:b/>
                <w:bCs/>
              </w:rPr>
              <w:t>PARAMETRY</w:t>
            </w:r>
          </w:p>
        </w:tc>
      </w:tr>
      <w:tr w:rsidR="00C30FD3" w14:paraId="2C4892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19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890AEA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>Sprzęt komputerowy oraz oprogramowanie.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74855B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Zakup UPS serwer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2CBF70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Szt. 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8FB30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Topologia UPS Technologia line-interactive</w:t>
            </w:r>
          </w:p>
          <w:p w14:paraId="1F892F90" w14:textId="77777777" w:rsidR="00C30FD3" w:rsidRDefault="00C30FD3">
            <w:pPr>
              <w:pStyle w:val="Inne0"/>
              <w:tabs>
                <w:tab w:val="left" w:pos="4238"/>
              </w:tabs>
              <w:spacing w:line="230" w:lineRule="auto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Maksymalna możliwa do konfiguracji moc</w:t>
            </w:r>
            <w:r>
              <w:rPr>
                <w:rStyle w:val="Inne"/>
              </w:rPr>
              <w:tab/>
              <w:t>3000 kVA</w:t>
            </w:r>
          </w:p>
          <w:p w14:paraId="6CF279F5" w14:textId="77777777" w:rsidR="00C30FD3" w:rsidRDefault="00C30FD3">
            <w:pPr>
              <w:pStyle w:val="Inne0"/>
              <w:tabs>
                <w:tab w:val="left" w:pos="2112"/>
              </w:tabs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Moc rzeczywista</w:t>
            </w:r>
            <w:r>
              <w:rPr>
                <w:rStyle w:val="Inne"/>
              </w:rPr>
              <w:tab/>
              <w:t>2700 W</w:t>
            </w:r>
          </w:p>
          <w:p w14:paraId="2D3D9342" w14:textId="77777777" w:rsidR="00C30FD3" w:rsidRDefault="00C30FD3">
            <w:pPr>
              <w:pStyle w:val="Inne0"/>
              <w:spacing w:line="230" w:lineRule="auto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Przebieg falowySinus</w:t>
            </w:r>
          </w:p>
          <w:p w14:paraId="2E470A24" w14:textId="77777777" w:rsidR="00C30FD3" w:rsidRDefault="00C30FD3">
            <w:pPr>
              <w:pStyle w:val="Inne0"/>
              <w:tabs>
                <w:tab w:val="left" w:pos="4238"/>
              </w:tabs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Napięcie operacyjne wejścia (minimalne)</w:t>
            </w:r>
            <w:r>
              <w:rPr>
                <w:rStyle w:val="Inne"/>
              </w:rPr>
              <w:tab/>
              <w:t>151 V</w:t>
            </w:r>
          </w:p>
          <w:p w14:paraId="765CE5A2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Napięcie operacyjne wejścia (maksymalne) 302 V</w:t>
            </w:r>
          </w:p>
          <w:p w14:paraId="64E280E5" w14:textId="77777777" w:rsidR="00C30FD3" w:rsidRDefault="00C30FD3">
            <w:pPr>
              <w:pStyle w:val="Inne0"/>
              <w:tabs>
                <w:tab w:val="left" w:pos="2827"/>
              </w:tabs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Częstotliwość wejściowa</w:t>
            </w:r>
            <w:r>
              <w:rPr>
                <w:rStyle w:val="Inne"/>
              </w:rPr>
              <w:tab/>
              <w:t>50/60 Hz</w:t>
            </w:r>
          </w:p>
          <w:p w14:paraId="6077B392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Napięcie operacyjne wyjścia (maksymalne) 220 V</w:t>
            </w:r>
          </w:p>
          <w:p w14:paraId="6B30D4D5" w14:textId="77777777" w:rsidR="00C30FD3" w:rsidRDefault="00C30FD3">
            <w:pPr>
              <w:pStyle w:val="Inne0"/>
              <w:tabs>
                <w:tab w:val="left" w:pos="4234"/>
              </w:tabs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Napięcie operacyjne wyjścia (minimalne)</w:t>
            </w:r>
            <w:r>
              <w:rPr>
                <w:rStyle w:val="Inne"/>
              </w:rPr>
              <w:tab/>
              <w:t>240 V</w:t>
            </w:r>
          </w:p>
          <w:p w14:paraId="4B61E5B1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Automatyczna regulacja napięcia (AVR) Tak</w:t>
            </w:r>
          </w:p>
          <w:p w14:paraId="05B589F3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Wartość znamionowa udaru energii 320 J</w:t>
            </w:r>
          </w:p>
          <w:p w14:paraId="2079F02B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Czas użytkowania (min)4 ms</w:t>
            </w:r>
          </w:p>
          <w:p w14:paraId="00FF60A4" w14:textId="77777777" w:rsidR="00C30FD3" w:rsidRDefault="00C30FD3">
            <w:pPr>
              <w:pStyle w:val="Inne0"/>
              <w:tabs>
                <w:tab w:val="left" w:pos="2827"/>
              </w:tabs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Czas użytkowania (max)</w:t>
            </w:r>
            <w:r>
              <w:rPr>
                <w:rStyle w:val="Inne"/>
              </w:rPr>
              <w:tab/>
              <w:t>8 ms</w:t>
            </w:r>
          </w:p>
          <w:p w14:paraId="602B1DD6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Wydajność 98,9%</w:t>
            </w:r>
          </w:p>
          <w:p w14:paraId="712485AA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Poziom hałasu 55 dB</w:t>
            </w:r>
          </w:p>
          <w:p w14:paraId="2128B7C8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Słyszalny alarm Tak</w:t>
            </w:r>
          </w:p>
          <w:p w14:paraId="321F3239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Auto-restart Tak</w:t>
            </w:r>
          </w:p>
          <w:p w14:paraId="71D681E1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Porty i interfejsy</w:t>
            </w:r>
          </w:p>
          <w:p w14:paraId="4D419863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Ilość zworek wyjściowych IEC 3</w:t>
            </w:r>
          </w:p>
          <w:p w14:paraId="687FED59" w14:textId="77777777" w:rsidR="00C30FD3" w:rsidRDefault="00C30FD3">
            <w:pPr>
              <w:pStyle w:val="Inne0"/>
              <w:tabs>
                <w:tab w:val="left" w:pos="1406"/>
              </w:tabs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Port USB</w:t>
            </w:r>
            <w:r>
              <w:rPr>
                <w:rStyle w:val="Inne"/>
              </w:rPr>
              <w:tab/>
              <w:t>Tak</w:t>
            </w:r>
          </w:p>
          <w:p w14:paraId="0EC151F1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Interfejs szeregowy</w:t>
            </w:r>
          </w:p>
          <w:p w14:paraId="29713F87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Interfejs SCSI SmartSlotTak</w:t>
            </w:r>
          </w:p>
          <w:p w14:paraId="789EE1A0" w14:textId="77777777" w:rsidR="00C30FD3" w:rsidRDefault="00C30FD3">
            <w:pPr>
              <w:pStyle w:val="Inne0"/>
              <w:spacing w:line="230" w:lineRule="auto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RJ-45</w:t>
            </w:r>
          </w:p>
          <w:p w14:paraId="0242B130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Tak</w:t>
            </w:r>
          </w:p>
          <w:p w14:paraId="53942DDE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Bateria</w:t>
            </w:r>
          </w:p>
          <w:p w14:paraId="76B076AA" w14:textId="77777777" w:rsidR="00C30FD3" w:rsidRDefault="00C30FD3">
            <w:pPr>
              <w:pStyle w:val="Inne0"/>
              <w:spacing w:line="230" w:lineRule="auto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Rodzaj baterii Ołowiowa (VRLA)</w:t>
            </w:r>
          </w:p>
          <w:p w14:paraId="6AC54081" w14:textId="77777777" w:rsidR="00C30FD3" w:rsidRDefault="00C30FD3">
            <w:pPr>
              <w:pStyle w:val="Inne0"/>
              <w:spacing w:after="12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Pojemność baterii 547 VAh</w:t>
            </w:r>
          </w:p>
        </w:tc>
      </w:tr>
    </w:tbl>
    <w:p w14:paraId="772F830F" w14:textId="77777777" w:rsidR="00C30FD3" w:rsidRDefault="00C30FD3">
      <w:pPr>
        <w:spacing w:line="1" w:lineRule="exact"/>
        <w:rPr>
          <w:color w:val="auto"/>
        </w:rPr>
      </w:pPr>
      <w:r>
        <w:rPr>
          <w:color w:val="auto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6"/>
        <w:gridCol w:w="1930"/>
        <w:gridCol w:w="744"/>
        <w:gridCol w:w="5117"/>
      </w:tblGrid>
      <w:tr w:rsidR="00C30FD3" w14:paraId="5F4432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6"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C3C797" w14:textId="77777777" w:rsidR="00C30FD3" w:rsidRDefault="00C30FD3">
            <w:pPr>
              <w:rPr>
                <w:color w:val="auto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CCD07D" w14:textId="77777777" w:rsidR="00C30FD3" w:rsidRDefault="00C30FD3">
            <w:pPr>
              <w:rPr>
                <w:color w:val="auto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66FCC9" w14:textId="77777777" w:rsidR="00C30FD3" w:rsidRDefault="00C30FD3">
            <w:pPr>
              <w:rPr>
                <w:color w:val="auto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FC9FC3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Typowy czas podtrzymania przy pełnym obciążeniu 3,2 min</w:t>
            </w:r>
          </w:p>
          <w:p w14:paraId="5089AF51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Typowy czas podtrzymania przy połowie obciążenia 11,5 min</w:t>
            </w:r>
          </w:p>
          <w:p w14:paraId="4D178819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Żywotność baterii (max)</w:t>
            </w:r>
          </w:p>
          <w:p w14:paraId="1ACD0079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Czas ładowania</w:t>
            </w:r>
          </w:p>
          <w:p w14:paraId="4597F02F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Akumulatory wymieniane podczas pracy</w:t>
            </w:r>
          </w:p>
          <w:p w14:paraId="70E606D3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Automatyczny test baterii</w:t>
            </w:r>
          </w:p>
          <w:p w14:paraId="43A0BEFE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Zimny start 5 lat</w:t>
            </w:r>
          </w:p>
          <w:p w14:paraId="08CBF74F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3 h Tak</w:t>
            </w:r>
          </w:p>
          <w:p w14:paraId="13DB4DCB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Tak Tak</w:t>
            </w:r>
          </w:p>
        </w:tc>
      </w:tr>
      <w:tr w:rsidR="00C30FD3" w14:paraId="3C8917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10"/>
          <w:jc w:val="center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4A7A2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DFC4CD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Zakup serwera backupowego wraz z oprogramowaniem serwerowym i backupowym i macierzą dyskową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8DA2DE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szt. 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AE19E8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Typ obudowy: Rack 1U</w:t>
            </w:r>
          </w:p>
          <w:p w14:paraId="5B24AB7A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Procesor: (2.4 GHz - 3.4 GHz, 16 rdzeni/32 wątki, 24 MB cache, 135 W)</w:t>
            </w:r>
          </w:p>
          <w:p w14:paraId="28D34B20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Pamięć RAM: 2 x 64 GB (1 x 64 GB, DDR4, RDIMM, 3200 MT/s, ECC)</w:t>
            </w:r>
          </w:p>
          <w:p w14:paraId="4CF5E25E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Zatoki na dyski:Maksymalnie 8 dysków 2.5″ z interfejsem SAS lub SATA w ramce Hot-Plug</w:t>
            </w:r>
          </w:p>
          <w:p w14:paraId="0FF9FE87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Kontroler RAID: PERC H755 (Sprzętowy, 8 GB cache, 12</w:t>
            </w:r>
          </w:p>
          <w:p w14:paraId="04A6345F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Gb/s, SAS/SATA, 0/1/5/6/10/50/60)</w:t>
            </w:r>
          </w:p>
          <w:p w14:paraId="7733E43E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Dyski twarde: 8 x 1.2 TB (HDD, 10000 obr./min, SAS 12</w:t>
            </w:r>
          </w:p>
          <w:p w14:paraId="1CC82685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Gb/s, 2.5″, Hot-Plug)</w:t>
            </w:r>
          </w:p>
          <w:p w14:paraId="457A89DE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Zintegrowana karta sieciowa: Dual Port (2 x RJ-45, 1</w:t>
            </w:r>
          </w:p>
          <w:p w14:paraId="0907E36B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Gb/s, 1000Base-T,</w:t>
            </w:r>
          </w:p>
          <w:p w14:paraId="0EAC2437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Zintegrowana)</w:t>
            </w:r>
          </w:p>
          <w:p w14:paraId="7CF60920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Dodatkowa karta sieciowa: uad Port (4 x RJ-45, 1 Gb/s, 1000Base-T, PCIe)</w:t>
            </w:r>
          </w:p>
          <w:p w14:paraId="05C904D8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Kontroler zdalnego zarządzania: iDRAC9 Basic (1 x RJ-45)</w:t>
            </w:r>
          </w:p>
          <w:p w14:paraId="0BCB7B75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Złącza - przód: Micro-USB (iDRAC), VGA, USB-A 3.0 Złącza - tył: VGA, 2 x RJ-45, RJ-45 (iDRAC), USB-A 3.0, USB-A 2.0</w:t>
            </w:r>
          </w:p>
          <w:p w14:paraId="184BF8B2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Zasilacz: 2 x 700 W Hot-Plug (80 PLUS Titanium)</w:t>
            </w:r>
          </w:p>
          <w:p w14:paraId="35907931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Przewód zasilający: 2 x Rack PDU 2 m (C13/C14)</w:t>
            </w:r>
          </w:p>
          <w:p w14:paraId="02860CF2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Wysokość: 4.28 cm (1U)</w:t>
            </w:r>
          </w:p>
          <w:p w14:paraId="6BAB3F9B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Szerokość: 48.20 cm (19″)</w:t>
            </w:r>
          </w:p>
          <w:p w14:paraId="23B41725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Głębokość: 74.88 cm</w:t>
            </w:r>
          </w:p>
          <w:p w14:paraId="4EE8BE55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Maskownica: Standard Bezel (1U)</w:t>
            </w:r>
          </w:p>
          <w:p w14:paraId="51DA9F31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 xml:space="preserve">Szyny montażowe Rack: </w:t>
            </w:r>
          </w:p>
          <w:p w14:paraId="4B19EC3F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Gwarancja producenta: 3 x Basic z czasem reakcji Next Business Day</w:t>
            </w:r>
          </w:p>
        </w:tc>
      </w:tr>
      <w:tr w:rsidR="00C30FD3" w14:paraId="6CCFA0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0"/>
          <w:jc w:val="center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061E2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980C17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Zakup oprogramowania systemowego -w tym oprogramowania do realizacji opieki koordynowanej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214CB43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Szt. 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C69B63" w14:textId="77777777" w:rsidR="00C30FD3" w:rsidRDefault="00C30FD3">
            <w:pPr>
              <w:pStyle w:val="Inne0"/>
              <w:spacing w:after="4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1szt na serwer</w:t>
            </w:r>
          </w:p>
          <w:p w14:paraId="0843FAD6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Win Svr Std 2025 64Bit Eng 1pk 16 Core OEM</w:t>
            </w:r>
          </w:p>
          <w:p w14:paraId="32FA9D5D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Na serwer</w:t>
            </w:r>
          </w:p>
          <w:p w14:paraId="5373C669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MS Windows Server CAL 2022 60 stanowisk</w:t>
            </w:r>
          </w:p>
          <w:p w14:paraId="1B8F8AE1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C30FD3" w14:paraId="4A4501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1"/>
          <w:jc w:val="center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4647AC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388240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Zakup urządzeń sieciowych typu switch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E9B953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Szt. 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8A74" w14:textId="77777777" w:rsidR="00C30FD3" w:rsidRDefault="00C30FD3">
            <w:pPr>
              <w:pStyle w:val="Inne0"/>
              <w:tabs>
                <w:tab w:val="left" w:pos="2122"/>
              </w:tabs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Typ przełącznika</w:t>
            </w:r>
            <w:r>
              <w:rPr>
                <w:rStyle w:val="Inne"/>
              </w:rPr>
              <w:tab/>
              <w:t>Zarządzany</w:t>
            </w:r>
          </w:p>
          <w:p w14:paraId="0707742A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Obsługa jakość serwisu ( oS) Tak</w:t>
            </w:r>
          </w:p>
          <w:p w14:paraId="44001193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Inspekcja ARP Tak</w:t>
            </w:r>
          </w:p>
          <w:p w14:paraId="51AF1595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Raport zdarzeń systemowych Tak</w:t>
            </w:r>
          </w:p>
          <w:p w14:paraId="44DBE585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Porty i interfejsy</w:t>
            </w:r>
          </w:p>
          <w:p w14:paraId="43010AD7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Podstawowe przełączanie RJ-45 Liczba portów Ethernet</w:t>
            </w:r>
          </w:p>
          <w:p w14:paraId="1A09A6AF" w14:textId="77777777" w:rsidR="00C30FD3" w:rsidRDefault="00C30FD3">
            <w:pPr>
              <w:pStyle w:val="Inne0"/>
              <w:spacing w:after="4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44</w:t>
            </w:r>
          </w:p>
          <w:p w14:paraId="7F4C5379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Podstawowe przełączania Ethernet RJ-45 porty typ</w:t>
            </w:r>
          </w:p>
          <w:p w14:paraId="2E2B493C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Gigabit Ethernet (10/100/1000)</w:t>
            </w:r>
          </w:p>
          <w:p w14:paraId="4DA55B70" w14:textId="77777777" w:rsidR="00C30FD3" w:rsidRDefault="00C30FD3">
            <w:pPr>
              <w:pStyle w:val="Inne0"/>
              <w:tabs>
                <w:tab w:val="left" w:pos="2794"/>
              </w:tabs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Liczba portów SFP Combo</w:t>
            </w:r>
            <w:r>
              <w:rPr>
                <w:rStyle w:val="Inne"/>
              </w:rPr>
              <w:tab/>
              <w:t>4</w:t>
            </w:r>
          </w:p>
          <w:p w14:paraId="5BB1ACF4" w14:textId="77777777" w:rsidR="00C30FD3" w:rsidRDefault="00C30FD3">
            <w:pPr>
              <w:pStyle w:val="Inne0"/>
              <w:tabs>
                <w:tab w:val="left" w:pos="2794"/>
              </w:tabs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Ilość slotów Modułu SFP</w:t>
            </w:r>
            <w:r>
              <w:rPr>
                <w:rStyle w:val="Inne"/>
              </w:rPr>
              <w:tab/>
              <w:t>2</w:t>
            </w:r>
          </w:p>
        </w:tc>
      </w:tr>
    </w:tbl>
    <w:p w14:paraId="545B5F8A" w14:textId="77777777" w:rsidR="00C30FD3" w:rsidRDefault="00C30FD3">
      <w:pPr>
        <w:spacing w:line="1" w:lineRule="exact"/>
        <w:rPr>
          <w:color w:val="auto"/>
        </w:rPr>
      </w:pPr>
      <w:r>
        <w:rPr>
          <w:color w:val="auto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6"/>
        <w:gridCol w:w="1930"/>
        <w:gridCol w:w="744"/>
        <w:gridCol w:w="5117"/>
      </w:tblGrid>
      <w:tr w:rsidR="00C30FD3" w14:paraId="341C98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9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6D0EDE" w14:textId="77777777" w:rsidR="00C30FD3" w:rsidRDefault="00C30FD3">
            <w:pPr>
              <w:rPr>
                <w:color w:val="auto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E03D68" w14:textId="77777777" w:rsidR="00C30FD3" w:rsidRDefault="00C30FD3">
            <w:pPr>
              <w:rPr>
                <w:color w:val="auto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A081B1" w14:textId="77777777" w:rsidR="00C30FD3" w:rsidRDefault="00C30FD3">
            <w:pPr>
              <w:rPr>
                <w:color w:val="auto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C4502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Złącze światłowodowe SFP</w:t>
            </w:r>
          </w:p>
          <w:p w14:paraId="35104940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Sieć</w:t>
            </w:r>
          </w:p>
          <w:p w14:paraId="4CD6E8E7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Standardy komunikacyjne</w:t>
            </w:r>
          </w:p>
          <w:p w14:paraId="6BB1B8C9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Obsługa 10G</w:t>
            </w:r>
          </w:p>
          <w:p w14:paraId="1C0AF32E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Technologia okablowania Copper</w:t>
            </w:r>
          </w:p>
          <w:p w14:paraId="6B1FDE6F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Ethernet</w:t>
            </w:r>
          </w:p>
          <w:p w14:paraId="40A54767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Podpora kontroli przepływu</w:t>
            </w:r>
          </w:p>
          <w:p w14:paraId="1FB116A8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Limit częstotliwości</w:t>
            </w:r>
          </w:p>
          <w:p w14:paraId="67BEF582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Protokół drzewa rozpinającego</w:t>
            </w:r>
          </w:p>
          <w:p w14:paraId="23DD6B33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Obsługa sieci VLAN</w:t>
            </w:r>
          </w:p>
          <w:p w14:paraId="00663762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Funkcje wirtualnej sieci LAN</w:t>
            </w:r>
          </w:p>
          <w:p w14:paraId="6C675263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Światłowód</w:t>
            </w:r>
          </w:p>
          <w:p w14:paraId="52D08B1D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Technologia okablowania Fiber Ethernet 1000BASE-X</w:t>
            </w:r>
          </w:p>
          <w:p w14:paraId="2575B606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Przesyłanie danych</w:t>
            </w:r>
          </w:p>
          <w:p w14:paraId="2FD4B988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Przepustowość rutowania/przełączania 100 Gbit/s</w:t>
            </w:r>
          </w:p>
          <w:p w14:paraId="0EDE5679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Prędkość przekazywania Wielkość tabeli adresów</w:t>
            </w:r>
          </w:p>
          <w:p w14:paraId="02A81F0D" w14:textId="77777777" w:rsidR="00C30FD3" w:rsidRDefault="00C30FD3">
            <w:pPr>
              <w:pStyle w:val="Inne0"/>
              <w:tabs>
                <w:tab w:val="left" w:pos="2822"/>
              </w:tabs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Pamięci bufora pakietów</w:t>
            </w:r>
            <w:r>
              <w:rPr>
                <w:rStyle w:val="Inne"/>
              </w:rPr>
              <w:tab/>
              <w:t>74 Mpps 16000 wejścia</w:t>
            </w:r>
          </w:p>
          <w:p w14:paraId="06BBE6F4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1,5 MB</w:t>
            </w:r>
          </w:p>
          <w:p w14:paraId="7197DF14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Ochrona</w:t>
            </w:r>
          </w:p>
          <w:p w14:paraId="6A55FB30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Funkcje DHCP</w:t>
            </w:r>
          </w:p>
          <w:p w14:paraId="7F9257F2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Lista kontrolna dostępu (ACL)</w:t>
            </w:r>
          </w:p>
          <w:p w14:paraId="2C44D441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IGMP snooping DHCP clientDHCP relayDHCP snoopingRozwiń</w:t>
            </w:r>
          </w:p>
          <w:p w14:paraId="678F8678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Tak</w:t>
            </w:r>
          </w:p>
          <w:p w14:paraId="0826A707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Tak</w:t>
            </w:r>
          </w:p>
          <w:p w14:paraId="4DE26D91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Szyfrowanie / bezpieczeństwo 802.1x</w:t>
            </w:r>
          </w:p>
          <w:p w14:paraId="02922C18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RADIUSSNMPSNMPv3</w:t>
            </w:r>
          </w:p>
          <w:p w14:paraId="3CB25515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Filtrowanie adresów MAC Tak</w:t>
            </w:r>
          </w:p>
          <w:p w14:paraId="2076E199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Wiązanie adresów IP-MAC-Port Tak</w:t>
            </w:r>
          </w:p>
          <w:p w14:paraId="0BB96255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Guest VLAN, Uwierzytelnianie na podstawie portów Tak</w:t>
            </w:r>
          </w:p>
          <w:p w14:paraId="61FE0FBF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IEEE 802.1x, RADIUS</w:t>
            </w:r>
          </w:p>
          <w:p w14:paraId="6AAF0D6B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Tak</w:t>
            </w:r>
          </w:p>
          <w:p w14:paraId="58A2A573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Algorytmy planowania kolejki SP Weighted Round</w:t>
            </w:r>
          </w:p>
          <w:p w14:paraId="72B215F9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Robin (WRR)WF</w:t>
            </w:r>
          </w:p>
          <w:p w14:paraId="3501F28F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Funkcje Multicast</w:t>
            </w:r>
          </w:p>
          <w:p w14:paraId="26C33097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Obsługa Multicast Tak</w:t>
            </w:r>
          </w:p>
          <w:p w14:paraId="292BE620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Wydajność</w:t>
            </w:r>
          </w:p>
          <w:p w14:paraId="1428283A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Pojemność pamięci wewnętrznej</w:t>
            </w:r>
          </w:p>
          <w:p w14:paraId="639C014D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Wielkość pamięci flash</w:t>
            </w:r>
          </w:p>
          <w:p w14:paraId="72EAC4B5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Poziom hałasu</w:t>
            </w:r>
          </w:p>
          <w:p w14:paraId="33893683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MTBF (Średni okres międzyawaryjny) 502509 h</w:t>
            </w:r>
          </w:p>
          <w:p w14:paraId="31FD02A7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Moc</w:t>
            </w:r>
          </w:p>
          <w:p w14:paraId="525B89F2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Częstotliwość wejściowa AC 50 - 60 Hz</w:t>
            </w:r>
          </w:p>
          <w:p w14:paraId="1CC7FB7B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Pobór mocy (max)</w:t>
            </w:r>
          </w:p>
          <w:p w14:paraId="3F076D1C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474,3 W</w:t>
            </w:r>
          </w:p>
          <w:p w14:paraId="1AF19355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Zasilanie przez sieć Ethernet (PoE)</w:t>
            </w:r>
          </w:p>
          <w:p w14:paraId="40ADD448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Obsługa PoE</w:t>
            </w:r>
          </w:p>
          <w:p w14:paraId="67B5B508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Ilość portów Fast Ethernet (PoE)</w:t>
            </w:r>
          </w:p>
          <w:p w14:paraId="40EEDCCE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Całkowita Power over Ethernet (PoE) budżetu 375 W</w:t>
            </w:r>
          </w:p>
          <w:p w14:paraId="2699B011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Warunki pracy</w:t>
            </w:r>
          </w:p>
          <w:p w14:paraId="71043EDC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Zakres temperatur (eksploatacja) 0 - 50 °C</w:t>
            </w:r>
          </w:p>
          <w:p w14:paraId="4AEC7116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Zakres temperatur (przechowywanie) -40 - 70 °C</w:t>
            </w:r>
          </w:p>
          <w:p w14:paraId="6BBB39DF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Zakres wilgotności względnej</w:t>
            </w:r>
          </w:p>
          <w:p w14:paraId="08A81AE6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Emisja ciepła</w:t>
            </w:r>
          </w:p>
        </w:tc>
      </w:tr>
    </w:tbl>
    <w:p w14:paraId="482014D2" w14:textId="77777777" w:rsidR="00C30FD3" w:rsidRDefault="00C30FD3">
      <w:pPr>
        <w:spacing w:line="1" w:lineRule="exact"/>
        <w:rPr>
          <w:color w:val="auto"/>
        </w:rPr>
      </w:pPr>
      <w:r>
        <w:rPr>
          <w:color w:val="auto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6"/>
        <w:gridCol w:w="1930"/>
        <w:gridCol w:w="744"/>
        <w:gridCol w:w="5117"/>
      </w:tblGrid>
      <w:tr w:rsidR="00C30FD3" w14:paraId="37570B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8"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CB9648" w14:textId="77777777" w:rsidR="00C30FD3" w:rsidRDefault="00C30FD3">
            <w:pPr>
              <w:rPr>
                <w:color w:val="auto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510167" w14:textId="77777777" w:rsidR="00C30FD3" w:rsidRDefault="00C30FD3">
            <w:pPr>
              <w:rPr>
                <w:color w:val="auto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AF9D91" w14:textId="77777777" w:rsidR="00C30FD3" w:rsidRDefault="00C30FD3">
            <w:pPr>
              <w:rPr>
                <w:color w:val="auto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3C92A7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Waga i rozmiary</w:t>
            </w:r>
          </w:p>
          <w:p w14:paraId="0AD2D561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Szerokość produktu 441 mm</w:t>
            </w:r>
          </w:p>
          <w:p w14:paraId="5550B35E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Głębokość produktu 270 mm</w:t>
            </w:r>
          </w:p>
          <w:p w14:paraId="13FE01C8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Wysokość produktu 44 mm</w:t>
            </w:r>
          </w:p>
          <w:p w14:paraId="129706F6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Waga produktu 4,1 kg</w:t>
            </w:r>
          </w:p>
          <w:p w14:paraId="46F2D2C6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Dane opakowania</w:t>
            </w:r>
          </w:p>
          <w:p w14:paraId="6C8CD3BD" w14:textId="77777777" w:rsidR="00C30FD3" w:rsidRDefault="00C30FD3">
            <w:pPr>
              <w:pStyle w:val="Inne0"/>
              <w:tabs>
                <w:tab w:val="left" w:pos="1411"/>
              </w:tabs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Przewody</w:t>
            </w:r>
            <w:r>
              <w:rPr>
                <w:rStyle w:val="Inne"/>
              </w:rPr>
              <w:tab/>
              <w:t>Prąd przemienny</w:t>
            </w:r>
          </w:p>
          <w:p w14:paraId="71A3E362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Zestaw do montażu haków Tak Wysokość opakowania 107 mm</w:t>
            </w:r>
          </w:p>
        </w:tc>
      </w:tr>
      <w:tr w:rsidR="00C30FD3" w14:paraId="65172F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469"/>
          <w:jc w:val="center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6DAD24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9811DA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Zakup urządzenia wielofunkcyjnego typu drukarka/skaner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F18E84" w14:textId="77777777" w:rsidR="00C30FD3" w:rsidRDefault="00C30FD3">
            <w:pPr>
              <w:pStyle w:val="Inne0"/>
              <w:jc w:val="center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Szt.2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5523E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Prędkość druku A4 : do 25/25 str./min. (mono/kolor)</w:t>
            </w:r>
          </w:p>
          <w:p w14:paraId="7E60EAC3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Prędkość druku A3 : do 15/15 str./min. (mono/kolor)</w:t>
            </w:r>
          </w:p>
          <w:p w14:paraId="671B3DAA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Prędkość dwustronnego druku A4 : do 25/25 str./min. (mono/kolor)</w:t>
            </w:r>
          </w:p>
          <w:p w14:paraId="1B19824B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Czas oczekiwania na pierwszy wydruk A4 : 5.2/6.9 sek. (mono/kolor)</w:t>
            </w:r>
          </w:p>
          <w:p w14:paraId="3CA8416D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Czas nagrzewania : ok. 11/11 sek. (mono/kolor)¹</w:t>
            </w:r>
          </w:p>
          <w:p w14:paraId="1DE2C5B2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Technologia obrazowania : Laserowa</w:t>
            </w:r>
          </w:p>
          <w:p w14:paraId="1FC70200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Technologia tonera : Toner polimeryzowany</w:t>
            </w:r>
          </w:p>
          <w:p w14:paraId="30A486A7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Rozmiar panelu/rozdzielczość</w:t>
            </w:r>
          </w:p>
          <w:p w14:paraId="32CE878A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10.1” / 1024 x 600</w:t>
            </w:r>
          </w:p>
          <w:p w14:paraId="38328EED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Pamięć systemu : 8,192 MB (standard)</w:t>
            </w:r>
          </w:p>
          <w:p w14:paraId="06A1F31E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Dysk systemowy : 256 GB SSD (standard) / 1 TB SSD (opcja)</w:t>
            </w:r>
          </w:p>
          <w:p w14:paraId="0DF87149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Interfejs : 10/100/1,000-Base-T Ethernet; USB 2.0;</w:t>
            </w:r>
          </w:p>
          <w:p w14:paraId="0F1EB784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Protokoły sieciowe : TCP/IP (IPv4 / IPv6); SMB; LPD; IPP;</w:t>
            </w:r>
          </w:p>
          <w:p w14:paraId="28730D0F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SNMP; HTTP(S); Bonjour</w:t>
            </w:r>
          </w:p>
          <w:p w14:paraId="60C8C493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Automatyczny podajnik dokumentów : do 100 oryginałów; A6-A3; 35-163 g/m²; podajnik dwuprzebiegowy RADF</w:t>
            </w:r>
          </w:p>
          <w:p w14:paraId="112A2A39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Obsługiwane formaty papieru : A6-SRA3; papier do banerów max. 1200 x 297 mm, rozmiary niestandardowe</w:t>
            </w:r>
          </w:p>
          <w:p w14:paraId="19A298FD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Obsługiwane gramatury papieru : 52-300 g/m²</w:t>
            </w:r>
          </w:p>
          <w:p w14:paraId="0DD3D1F1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Pojemność wejściowa papieru : 1,150 arkuszy standard / 6,650 arkuszy (max)</w:t>
            </w:r>
          </w:p>
          <w:p w14:paraId="1229CE97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Pojemność wejściowa kaset (standard)</w:t>
            </w:r>
          </w:p>
          <w:p w14:paraId="68E727A2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1x 500; A6-A3; rozmiary niestandardowe; 52-256 g/m² 1x 500; A5-SRA3; rozmiary niestandardowe; 52-256 g/m²</w:t>
            </w:r>
          </w:p>
          <w:p w14:paraId="06E85536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Podajnik ręczny : 150 arkuszy; A6-SRA3; rozmiary niestandardowe, papier do banerów; 60-300 g/m²</w:t>
            </w:r>
          </w:p>
          <w:p w14:paraId="1A19A68D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Automatyczny druk dwustronny : A6-SRA3; 52-256 g/m²</w:t>
            </w:r>
          </w:p>
        </w:tc>
      </w:tr>
    </w:tbl>
    <w:p w14:paraId="4597C7CF" w14:textId="77777777" w:rsidR="00C30FD3" w:rsidRDefault="00C30FD3">
      <w:pPr>
        <w:spacing w:line="1" w:lineRule="exact"/>
        <w:rPr>
          <w:color w:val="auto"/>
        </w:rPr>
      </w:pPr>
      <w:r>
        <w:rPr>
          <w:color w:val="auto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6"/>
        <w:gridCol w:w="1930"/>
        <w:gridCol w:w="744"/>
        <w:gridCol w:w="5117"/>
      </w:tblGrid>
      <w:tr w:rsidR="00C30FD3" w14:paraId="11701B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0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D92910" w14:textId="77777777" w:rsidR="00C30FD3" w:rsidRDefault="00C30FD3">
            <w:pPr>
              <w:rPr>
                <w:color w:val="auto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0934FD" w14:textId="77777777" w:rsidR="00C30FD3" w:rsidRDefault="00C30FD3">
            <w:pPr>
              <w:rPr>
                <w:color w:val="auto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42903A" w14:textId="77777777" w:rsidR="00C30FD3" w:rsidRDefault="00C30FD3">
            <w:pPr>
              <w:rPr>
                <w:color w:val="auto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3AB09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Wydajność wyjściowa : do 250 arkuszy / do 3,300 arkuszy (standard/max)</w:t>
            </w:r>
          </w:p>
          <w:p w14:paraId="09E520F6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Podstawa pod urządzenie : Szafka metalowa oryginalna</w:t>
            </w:r>
          </w:p>
          <w:p w14:paraId="362E22AF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Żywotność tonera (minimum) : Czarny do 28,000 stron</w:t>
            </w:r>
          </w:p>
          <w:p w14:paraId="22F55896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CMY do 28,000 stron</w:t>
            </w:r>
          </w:p>
          <w:p w14:paraId="39543122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Rozdzielczość druku : 1,800 (równowartość) x 600 dpi;</w:t>
            </w:r>
          </w:p>
          <w:p w14:paraId="6DEDB97E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1200 x 1200 dpi</w:t>
            </w:r>
          </w:p>
          <w:p w14:paraId="53F2164D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Język opisu strony : PCL 6 (XL3.0); PCL 5c; PostScript 3</w:t>
            </w:r>
          </w:p>
          <w:p w14:paraId="094E67CF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(CPSI 3016); XPS</w:t>
            </w:r>
          </w:p>
          <w:p w14:paraId="1FF12FE4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System operacyjny : Windows 10 (32/64); Windows 11;</w:t>
            </w:r>
          </w:p>
          <w:p w14:paraId="02C70072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Windows Server 2012; Windows Server 2012</w:t>
            </w:r>
          </w:p>
          <w:p w14:paraId="2768B4E3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R2; Windows Server 2016; Windows Server 2019;</w:t>
            </w:r>
          </w:p>
          <w:p w14:paraId="76F02707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Windows Server 2022; macOS</w:t>
            </w:r>
          </w:p>
          <w:p w14:paraId="76164215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10.14 lub nowszy; Unix; Linux; Citrix</w:t>
            </w:r>
          </w:p>
          <w:p w14:paraId="4EF21A49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Czcionki drukarki : 80 PCL Latin; 137 PostScript 3</w:t>
            </w:r>
          </w:p>
          <w:p w14:paraId="38E749B2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Emulation Latin Czcionki kodów kreskowych (opcja); Czcionki OCR A i B (opcja);</w:t>
            </w:r>
          </w:p>
          <w:p w14:paraId="1C031014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Czcionki Unicode (opcja) :</w:t>
            </w:r>
          </w:p>
          <w:p w14:paraId="3C8C7DA6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Drukowanie mobilne : AirPrint (iOS); Mopria (Android);</w:t>
            </w:r>
          </w:p>
          <w:p w14:paraId="74BD0D7D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Maksymalna liczba przechowywanych dokumentów : do 3,000 dokumentów lub 10,000 stron</w:t>
            </w:r>
          </w:p>
          <w:p w14:paraId="13BB597E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Rodzaje prywatnych skrzynek użytkownika publiczne;</w:t>
            </w:r>
          </w:p>
          <w:p w14:paraId="1564EB9A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Osobiste (chronione hasłem lub uwierzytelniane);</w:t>
            </w:r>
          </w:p>
          <w:p w14:paraId="5BAF2898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Grupowe(uwierzytelniane)</w:t>
            </w:r>
          </w:p>
          <w:p w14:paraId="69B52B27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Rodzaje systemowych skrzynek użytkownika</w:t>
            </w:r>
          </w:p>
          <w:p w14:paraId="6645727F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Bezpieczny wydruk; wydruk szyfrowanych</w:t>
            </w:r>
          </w:p>
          <w:p w14:paraId="11467198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Zarządzanie użytkownikami : do 1,000 kont użytkownika; obsługa Active Directory (nazwa</w:t>
            </w:r>
          </w:p>
          <w:p w14:paraId="56808692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użytkownika + hasło + e-mail + folder SMB);</w:t>
            </w:r>
          </w:p>
          <w:p w14:paraId="1BB76B47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Oprogramowanie :</w:t>
            </w:r>
          </w:p>
          <w:p w14:paraId="669B4D45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Net Care Device Manager; Data Administrator; Box</w:t>
            </w:r>
          </w:p>
          <w:p w14:paraId="6EF03F08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Operator; Web</w:t>
            </w:r>
          </w:p>
          <w:p w14:paraId="11AF167D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Connection; Print Status Notifier; Driver Packaging</w:t>
            </w:r>
          </w:p>
          <w:p w14:paraId="04FE6133" w14:textId="77777777" w:rsidR="00C30FD3" w:rsidRDefault="00C30FD3">
            <w:pPr>
              <w:pStyle w:val="Inne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Utility; Log</w:t>
            </w:r>
          </w:p>
          <w:p w14:paraId="2DE3A650" w14:textId="77777777" w:rsidR="00C30FD3" w:rsidRDefault="00C30FD3">
            <w:pPr>
              <w:pStyle w:val="Inne0"/>
              <w:spacing w:after="260"/>
              <w:rPr>
                <w:rFonts w:ascii="DejaVu Sans" w:hAnsi="DejaVu Sans" w:cs="DejaVu Sans"/>
                <w:sz w:val="24"/>
                <w:szCs w:val="24"/>
              </w:rPr>
            </w:pPr>
            <w:r>
              <w:rPr>
                <w:rStyle w:val="Inne"/>
              </w:rPr>
              <w:t>Management Utility.</w:t>
            </w:r>
          </w:p>
        </w:tc>
      </w:tr>
    </w:tbl>
    <w:p w14:paraId="14CED468" w14:textId="77777777" w:rsidR="00C30FD3" w:rsidRDefault="00C30FD3">
      <w:pPr>
        <w:pStyle w:val="Podpistabeli0"/>
        <w:rPr>
          <w:rFonts w:ascii="DejaVu Sans" w:hAnsi="DejaVu Sans" w:cs="DejaVu Sans"/>
          <w:b w:val="0"/>
          <w:bCs w:val="0"/>
          <w:sz w:val="24"/>
          <w:szCs w:val="24"/>
        </w:rPr>
      </w:pPr>
      <w:r>
        <w:rPr>
          <w:rStyle w:val="Podpistabeli"/>
          <w:b/>
          <w:bCs/>
        </w:rPr>
        <w:t>OGÓLNE WYMAGANIA DOTYCZĄCE PRZEDMIOTU ZAMÓWIENIA</w:t>
      </w:r>
    </w:p>
    <w:p w14:paraId="5DB74B75" w14:textId="77777777" w:rsidR="00C30FD3" w:rsidRDefault="00C30FD3">
      <w:pPr>
        <w:pStyle w:val="Teksttreci0"/>
        <w:spacing w:line="221" w:lineRule="auto"/>
        <w:rPr>
          <w:rFonts w:ascii="DejaVu Sans" w:hAnsi="DejaVu Sans" w:cs="DejaVu Sans"/>
          <w:sz w:val="24"/>
          <w:szCs w:val="24"/>
        </w:rPr>
      </w:pPr>
      <w:r>
        <w:rPr>
          <w:rStyle w:val="Teksttreci"/>
          <w:b/>
          <w:bCs/>
        </w:rPr>
        <w:t>Gwarancja podstawowa - min. 2 lata (24 miesiące)</w:t>
      </w:r>
    </w:p>
    <w:p w14:paraId="5BD6B1C0" w14:textId="77777777" w:rsidR="00C30FD3" w:rsidRDefault="00C30FD3">
      <w:pPr>
        <w:pStyle w:val="Teksttreci0"/>
        <w:numPr>
          <w:ilvl w:val="0"/>
          <w:numId w:val="1"/>
        </w:numPr>
        <w:tabs>
          <w:tab w:val="left" w:pos="392"/>
        </w:tabs>
        <w:spacing w:after="220" w:line="221" w:lineRule="auto"/>
        <w:rPr>
          <w:sz w:val="24"/>
          <w:szCs w:val="24"/>
        </w:rPr>
      </w:pPr>
      <w:r>
        <w:rPr>
          <w:rStyle w:val="Teksttreci"/>
        </w:rPr>
        <w:t>Gwarancja powinna obejmować bezpłatne naprawy i bezpłatne przeglądy w ciągu min.2 lat według warunków gwarancji.</w:t>
      </w:r>
    </w:p>
    <w:p w14:paraId="566E0251" w14:textId="77777777" w:rsidR="00C30FD3" w:rsidRDefault="00C30FD3">
      <w:pPr>
        <w:pStyle w:val="Teksttreci0"/>
        <w:numPr>
          <w:ilvl w:val="0"/>
          <w:numId w:val="1"/>
        </w:numPr>
        <w:tabs>
          <w:tab w:val="left" w:pos="387"/>
        </w:tabs>
        <w:spacing w:after="0" w:line="221" w:lineRule="auto"/>
        <w:rPr>
          <w:sz w:val="24"/>
          <w:szCs w:val="24"/>
        </w:rPr>
      </w:pPr>
      <w:r>
        <w:rPr>
          <w:rStyle w:val="Teksttreci"/>
          <w:b/>
          <w:bCs/>
        </w:rPr>
        <w:t>Koszty oferty powinny uwzględniać</w:t>
      </w:r>
      <w:r>
        <w:rPr>
          <w:rStyle w:val="Teksttreci"/>
        </w:rPr>
        <w:t>:</w:t>
      </w:r>
    </w:p>
    <w:p w14:paraId="555BC906" w14:textId="77777777" w:rsidR="00C30FD3" w:rsidRDefault="00C30FD3">
      <w:pPr>
        <w:pStyle w:val="Teksttreci0"/>
        <w:numPr>
          <w:ilvl w:val="0"/>
          <w:numId w:val="2"/>
        </w:numPr>
        <w:tabs>
          <w:tab w:val="left" w:pos="262"/>
        </w:tabs>
        <w:spacing w:line="221" w:lineRule="auto"/>
        <w:rPr>
          <w:sz w:val="24"/>
          <w:szCs w:val="24"/>
        </w:rPr>
      </w:pPr>
      <w:r>
        <w:rPr>
          <w:rStyle w:val="Teksttreci"/>
        </w:rPr>
        <w:t>koszty zakupu i dostawy</w:t>
      </w:r>
    </w:p>
    <w:p w14:paraId="3D3BBEBA" w14:textId="77777777" w:rsidR="00C30FD3" w:rsidRDefault="00C30FD3">
      <w:pPr>
        <w:pStyle w:val="Teksttreci0"/>
        <w:numPr>
          <w:ilvl w:val="0"/>
          <w:numId w:val="2"/>
        </w:numPr>
        <w:tabs>
          <w:tab w:val="left" w:pos="262"/>
        </w:tabs>
        <w:spacing w:line="221" w:lineRule="auto"/>
        <w:rPr>
          <w:sz w:val="24"/>
          <w:szCs w:val="24"/>
        </w:rPr>
      </w:pPr>
      <w:r>
        <w:rPr>
          <w:rStyle w:val="Teksttreci"/>
        </w:rPr>
        <w:t>koszty montażu</w:t>
      </w:r>
    </w:p>
    <w:p w14:paraId="3810AD5A" w14:textId="77777777" w:rsidR="00C30FD3" w:rsidRDefault="00C30FD3">
      <w:pPr>
        <w:pStyle w:val="Teksttreci0"/>
        <w:numPr>
          <w:ilvl w:val="0"/>
          <w:numId w:val="2"/>
        </w:numPr>
        <w:tabs>
          <w:tab w:val="left" w:pos="262"/>
        </w:tabs>
        <w:spacing w:after="0" w:line="221" w:lineRule="auto"/>
        <w:rPr>
          <w:sz w:val="24"/>
          <w:szCs w:val="24"/>
        </w:rPr>
      </w:pPr>
      <w:r>
        <w:rPr>
          <w:rStyle w:val="Teksttreci"/>
        </w:rPr>
        <w:t>jeżeli dotyczy koszty pierwszych przeglądów serwisowych według zaleceń producenta oraz zgodnie</w:t>
      </w:r>
    </w:p>
    <w:p w14:paraId="72D72FFB" w14:textId="77777777" w:rsidR="00C30FD3" w:rsidRDefault="00C30FD3">
      <w:pPr>
        <w:pStyle w:val="Teksttreci0"/>
        <w:spacing w:line="221" w:lineRule="auto"/>
        <w:rPr>
          <w:rFonts w:ascii="DejaVu Sans" w:hAnsi="DejaVu Sans" w:cs="DejaVu Sans"/>
          <w:sz w:val="24"/>
          <w:szCs w:val="24"/>
        </w:rPr>
      </w:pPr>
      <w:r>
        <w:rPr>
          <w:rStyle w:val="Teksttreci"/>
        </w:rPr>
        <w:t>z instrukcją,</w:t>
      </w:r>
    </w:p>
    <w:p w14:paraId="4458ABAA" w14:textId="77777777" w:rsidR="00C30FD3" w:rsidRDefault="00C30FD3">
      <w:pPr>
        <w:pStyle w:val="Teksttreci0"/>
        <w:spacing w:after="0" w:line="221" w:lineRule="auto"/>
        <w:rPr>
          <w:rFonts w:ascii="DejaVu Sans" w:hAnsi="DejaVu Sans" w:cs="DejaVu Sans"/>
          <w:sz w:val="24"/>
          <w:szCs w:val="24"/>
        </w:rPr>
      </w:pPr>
      <w:r>
        <w:rPr>
          <w:rStyle w:val="Teksttreci"/>
          <w:b/>
          <w:bCs/>
        </w:rPr>
        <w:lastRenderedPageBreak/>
        <w:t>Do oferty należy dołączyć przedmiotowe środki dowodowe:</w:t>
      </w:r>
    </w:p>
    <w:p w14:paraId="18BE7FC9" w14:textId="77777777" w:rsidR="00C30FD3" w:rsidRDefault="00C30FD3">
      <w:pPr>
        <w:pStyle w:val="Teksttreci0"/>
        <w:numPr>
          <w:ilvl w:val="0"/>
          <w:numId w:val="2"/>
        </w:numPr>
        <w:tabs>
          <w:tab w:val="left" w:pos="262"/>
        </w:tabs>
        <w:spacing w:after="360" w:line="221" w:lineRule="auto"/>
        <w:rPr>
          <w:sz w:val="24"/>
          <w:szCs w:val="24"/>
        </w:rPr>
      </w:pPr>
      <w:r>
        <w:rPr>
          <w:rStyle w:val="Teksttreci"/>
        </w:rPr>
        <w:t>foldery, prospekty ze zdjęciami oferowanego sprzętu, z wymiarami oraz opisem wyposażenia;</w:t>
      </w:r>
    </w:p>
    <w:p w14:paraId="5F39127E" w14:textId="77777777" w:rsidR="00C30FD3" w:rsidRDefault="00C30FD3">
      <w:pPr>
        <w:pStyle w:val="Teksttreci0"/>
        <w:rPr>
          <w:rFonts w:ascii="DejaVu Sans" w:hAnsi="DejaVu Sans" w:cs="DejaVu Sans"/>
          <w:sz w:val="24"/>
          <w:szCs w:val="24"/>
        </w:rPr>
      </w:pPr>
      <w:r>
        <w:rPr>
          <w:rStyle w:val="Teksttreci"/>
          <w:b/>
          <w:bCs/>
        </w:rPr>
        <w:t xml:space="preserve">W terminie dostawy należy dostarczyć: </w:t>
      </w:r>
      <w:r>
        <w:rPr>
          <w:rStyle w:val="Teksttreci"/>
        </w:rPr>
        <w:t>instrukcje obsługi i konserwacji, urządzeń i sprzętu w języku polskim, książki gwarancyjne, atesty, certyfikaty.</w:t>
      </w:r>
    </w:p>
    <w:sectPr w:rsidR="00C30FD3">
      <w:type w:val="continuous"/>
      <w:pgSz w:w="11906" w:h="16838"/>
      <w:pgMar w:top="422" w:right="871" w:bottom="289" w:left="1239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upperLetter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num w:numId="1" w16cid:durableId="2029138318">
    <w:abstractNumId w:val="0"/>
  </w:num>
  <w:num w:numId="2" w16cid:durableId="1356227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0B"/>
    <w:rsid w:val="00185C0B"/>
    <w:rsid w:val="003E57FA"/>
    <w:rsid w:val="005B0046"/>
    <w:rsid w:val="00C3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C8451"/>
  <w14:defaultImageDpi w14:val="0"/>
  <w15:docId w15:val="{BF19B464-DB25-47EE-BC37-E9E706E3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" w:eastAsia="Times New Roman" w:hAnsi="DejaVu Sans" w:cs="DejaVu San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uiPriority w:val="99"/>
    <w:rPr>
      <w:rFonts w:ascii="Arial" w:hAnsi="Arial" w:cs="Arial"/>
      <w:b/>
      <w:bCs/>
      <w:color w:val="252525"/>
      <w:spacing w:val="0"/>
      <w:w w:val="100"/>
      <w:position w:val="0"/>
      <w:sz w:val="13"/>
      <w:szCs w:val="13"/>
      <w:u w:val="none"/>
    </w:rPr>
  </w:style>
  <w:style w:type="character" w:customStyle="1" w:styleId="Podpisobrazu">
    <w:name w:val="Podpis obrazu_"/>
    <w:basedOn w:val="Domylnaczcionkaakapitu"/>
    <w:link w:val="Podpisobrazu0"/>
    <w:uiPriority w:val="99"/>
    <w:rPr>
      <w:rFonts w:ascii="Arial" w:hAnsi="Arial" w:cs="Arial"/>
      <w:b/>
      <w:bCs/>
      <w:color w:val="252525"/>
      <w:spacing w:val="0"/>
      <w:w w:val="100"/>
      <w:position w:val="0"/>
      <w:sz w:val="13"/>
      <w:szCs w:val="13"/>
      <w:u w:val="none"/>
    </w:rPr>
  </w:style>
  <w:style w:type="character" w:customStyle="1" w:styleId="Nagwek1">
    <w:name w:val="Nagłówek #1_"/>
    <w:basedOn w:val="Domylnaczcionkaakapitu"/>
    <w:link w:val="Nagwek10"/>
    <w:uiPriority w:val="99"/>
    <w:rPr>
      <w:rFonts w:ascii="Times New Roman" w:hAnsi="Times New Roman" w:cs="Times New Roman"/>
      <w:b/>
      <w:bCs/>
      <w:color w:val="33277F"/>
      <w:spacing w:val="0"/>
      <w:w w:val="100"/>
      <w:position w:val="0"/>
      <w:sz w:val="48"/>
      <w:szCs w:val="48"/>
      <w:u w:val="none"/>
    </w:rPr>
  </w:style>
  <w:style w:type="character" w:customStyle="1" w:styleId="Teksttreci5">
    <w:name w:val="Tekst treści (5)_"/>
    <w:basedOn w:val="Domylnaczcionkaakapitu"/>
    <w:link w:val="Teksttreci50"/>
    <w:uiPriority w:val="99"/>
    <w:rPr>
      <w:rFonts w:ascii="Times New Roman" w:hAnsi="Times New Roman" w:cs="Times New Roman"/>
      <w:b/>
      <w:bCs/>
      <w:color w:val="9E9BAC"/>
      <w:spacing w:val="0"/>
      <w:w w:val="100"/>
      <w:position w:val="0"/>
      <w:sz w:val="10"/>
      <w:szCs w:val="10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rPr>
      <w:rFonts w:ascii="Calibri" w:hAnsi="Calibri" w:cs="Calibri"/>
      <w:b/>
      <w:bCs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rPr>
      <w:rFonts w:ascii="Calibri" w:hAnsi="Calibri" w:cs="Calibri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uiPriority w:val="99"/>
    <w:rPr>
      <w:rFonts w:ascii="Calibri" w:hAnsi="Calibri" w:cs="Calibri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uiPriority w:val="99"/>
    <w:pPr>
      <w:spacing w:before="120" w:line="266" w:lineRule="auto"/>
      <w:ind w:left="460" w:hanging="460"/>
    </w:pPr>
    <w:rPr>
      <w:rFonts w:ascii="Arial" w:hAnsi="Arial" w:cs="Arial"/>
      <w:b/>
      <w:bCs/>
      <w:color w:val="252525"/>
      <w:sz w:val="13"/>
      <w:szCs w:val="13"/>
    </w:rPr>
  </w:style>
  <w:style w:type="paragraph" w:customStyle="1" w:styleId="Podpisobrazu0">
    <w:name w:val="Podpis obrazu"/>
    <w:basedOn w:val="Normalny"/>
    <w:link w:val="Podpisobrazu"/>
    <w:uiPriority w:val="99"/>
    <w:pPr>
      <w:spacing w:line="266" w:lineRule="auto"/>
    </w:pPr>
    <w:rPr>
      <w:rFonts w:ascii="Arial" w:hAnsi="Arial" w:cs="Arial"/>
      <w:b/>
      <w:bCs/>
      <w:color w:val="252525"/>
      <w:sz w:val="13"/>
      <w:szCs w:val="13"/>
    </w:rPr>
  </w:style>
  <w:style w:type="paragraph" w:customStyle="1" w:styleId="Nagwek10">
    <w:name w:val="Nagłówek #1"/>
    <w:basedOn w:val="Normalny"/>
    <w:link w:val="Nagwek1"/>
    <w:uiPriority w:val="99"/>
    <w:pPr>
      <w:jc w:val="center"/>
      <w:outlineLvl w:val="0"/>
    </w:pPr>
    <w:rPr>
      <w:rFonts w:ascii="Times New Roman" w:hAnsi="Times New Roman" w:cs="Times New Roman"/>
      <w:b/>
      <w:bCs/>
      <w:color w:val="33277F"/>
      <w:sz w:val="48"/>
      <w:szCs w:val="48"/>
    </w:rPr>
  </w:style>
  <w:style w:type="paragraph" w:customStyle="1" w:styleId="Teksttreci50">
    <w:name w:val="Tekst treści (5)"/>
    <w:basedOn w:val="Normalny"/>
    <w:link w:val="Teksttreci5"/>
    <w:uiPriority w:val="99"/>
    <w:pPr>
      <w:jc w:val="center"/>
    </w:pPr>
    <w:rPr>
      <w:rFonts w:ascii="Times New Roman" w:hAnsi="Times New Roman" w:cs="Times New Roman"/>
      <w:b/>
      <w:bCs/>
      <w:color w:val="9E9BAC"/>
      <w:sz w:val="10"/>
      <w:szCs w:val="10"/>
    </w:rPr>
  </w:style>
  <w:style w:type="paragraph" w:customStyle="1" w:styleId="Teksttreci40">
    <w:name w:val="Tekst treści (4)"/>
    <w:basedOn w:val="Normalny"/>
    <w:link w:val="Teksttreci4"/>
    <w:uiPriority w:val="99"/>
    <w:pPr>
      <w:spacing w:after="460" w:line="230" w:lineRule="auto"/>
      <w:ind w:right="280"/>
      <w:jc w:val="center"/>
    </w:pPr>
    <w:rPr>
      <w:rFonts w:ascii="Calibri" w:hAnsi="Calibri" w:cs="Calibri"/>
      <w:b/>
      <w:bCs/>
      <w:color w:val="auto"/>
      <w:sz w:val="28"/>
      <w:szCs w:val="28"/>
    </w:rPr>
  </w:style>
  <w:style w:type="paragraph" w:customStyle="1" w:styleId="Teksttreci20">
    <w:name w:val="Tekst treści (2)"/>
    <w:basedOn w:val="Normalny"/>
    <w:link w:val="Teksttreci2"/>
    <w:uiPriority w:val="99"/>
    <w:pPr>
      <w:spacing w:after="260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Teksttreci0">
    <w:name w:val="Tekst treści"/>
    <w:basedOn w:val="Normalny"/>
    <w:link w:val="Teksttreci"/>
    <w:uiPriority w:val="99"/>
    <w:pPr>
      <w:spacing w:after="120"/>
    </w:pPr>
    <w:rPr>
      <w:rFonts w:ascii="Calibri" w:hAnsi="Calibri" w:cs="Calibri"/>
      <w:color w:val="auto"/>
      <w:sz w:val="22"/>
      <w:szCs w:val="22"/>
    </w:rPr>
  </w:style>
  <w:style w:type="paragraph" w:customStyle="1" w:styleId="Inne0">
    <w:name w:val="Inne"/>
    <w:basedOn w:val="Normalny"/>
    <w:link w:val="Inne"/>
    <w:uiPriority w:val="99"/>
    <w:rPr>
      <w:rFonts w:ascii="Calibri" w:hAnsi="Calibri" w:cs="Calibri"/>
      <w:color w:val="auto"/>
      <w:sz w:val="22"/>
      <w:szCs w:val="22"/>
    </w:rPr>
  </w:style>
  <w:style w:type="paragraph" w:customStyle="1" w:styleId="Podpistabeli0">
    <w:name w:val="Podpis tabeli"/>
    <w:basedOn w:val="Normalny"/>
    <w:link w:val="Podpistabeli"/>
    <w:uiPriority w:val="99"/>
    <w:pPr>
      <w:jc w:val="center"/>
    </w:pPr>
    <w:rPr>
      <w:rFonts w:ascii="Calibri" w:hAnsi="Calibri" w:cs="Calibri"/>
      <w:b/>
      <w:b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1228</Words>
  <Characters>7370</Characters>
  <Application>Microsoft Office Word</Application>
  <DocSecurity>0</DocSecurity>
  <Lines>61</Lines>
  <Paragraphs>17</Paragraphs>
  <ScaleCrop>false</ScaleCrop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Aneta Piszczek</cp:lastModifiedBy>
  <cp:revision>2</cp:revision>
  <dcterms:created xsi:type="dcterms:W3CDTF">2025-04-04T07:23:00Z</dcterms:created>
  <dcterms:modified xsi:type="dcterms:W3CDTF">2025-04-04T07:23:00Z</dcterms:modified>
</cp:coreProperties>
</file>